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3"/>
        <w:ind w:left="1533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Involuntarily Closing Your Practice Checklist</w:t>
      </w:r>
    </w:p>
    <w:p>
      <w:pPr>
        <w:spacing w:before="188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List compiled from Susan Berson’s article, </w:t>
      </w:r>
      <w:r>
        <w:rPr>
          <w:i/>
          <w:color w:val="231F20"/>
          <w:sz w:val="20"/>
        </w:rPr>
        <w:t>The Death of a Practice</w:t>
      </w:r>
      <w:r>
        <w:rPr>
          <w:color w:val="231F20"/>
          <w:sz w:val="20"/>
        </w:rPr>
        <w:t>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829"/>
      </w:pPr>
      <w:r>
        <w:rPr/>
        <w:pict>
          <v:rect style="position:absolute;margin-left:77pt;margin-top:7.111335pt;width:6.7pt;height:6.7pt;mso-position-horizontal-relative:page;mso-position-vertical-relative:paragraph;z-index:10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Binder, guidebook or packet with materials for staff, family and transition lawyer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829"/>
      </w:pPr>
      <w:r>
        <w:rPr/>
        <w:pict>
          <v:rect style="position:absolute;margin-left:77pt;margin-top:7.061336pt;width:6.7pt;height:6.7pt;mso-position-horizontal-relative:page;mso-position-vertical-relative:paragraph;z-index:109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Selection and designation of transition lawyer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829"/>
      </w:pPr>
      <w:r>
        <w:rPr/>
        <w:pict>
          <v:rect style="position:absolute;margin-left:77pt;margin-top:7.111335pt;width:6.7pt;height:6.7pt;mso-position-horizontal-relative:page;mso-position-vertical-relative:paragraph;z-index:1120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Authorization for emergency access to accounts (check with bank)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829"/>
      </w:pPr>
      <w:r>
        <w:rPr/>
        <w:pict>
          <v:rect style="position:absolute;margin-left:77pt;margin-top:7.061336pt;width:6.7pt;height:6.7pt;mso-position-horizontal-relative:page;mso-position-vertical-relative:paragraph;z-index:114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In case of incapacity, a power of attorney for transition lawyer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829"/>
      </w:pPr>
      <w:r>
        <w:rPr/>
        <w:pict>
          <v:rect style="position:absolute;margin-left:77pt;margin-top:7.111335pt;width:6.7pt;height:6.7pt;mso-position-horizontal-relative:page;mso-position-vertical-relative:paragraph;z-index:116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List of passwords and contacts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829"/>
      </w:pPr>
      <w:r>
        <w:rPr/>
        <w:pict>
          <v:rect style="position:absolute;margin-left:77pt;margin-top:7.061336pt;width:6.7pt;height:6.7pt;mso-position-horizontal-relative:page;mso-position-vertical-relative:paragraph;z-index:119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Explanation and access to calendaring system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829"/>
      </w:pPr>
      <w:r>
        <w:rPr/>
        <w:pict>
          <v:rect style="position:absolute;margin-left:77pt;margin-top:7.111213pt;width:6.7pt;height:6.7pt;mso-position-horizontal-relative:page;mso-position-vertical-relative:paragraph;z-index:121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Instructions for family regarding estate and responsibilities of transition lawyer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829"/>
      </w:pPr>
      <w:r>
        <w:rPr/>
        <w:pict>
          <v:rect style="position:absolute;margin-left:77pt;margin-top:7.061213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Draft of letters to be sent to clients, etc.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/>
      </w:pPr>
      <w:r>
        <w:rPr>
          <w:color w:val="231F20"/>
        </w:rPr>
        <w:t>A lawyer may wish to consider including the following sample language in an engagement letter and/or contract.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500" w:bottom="280" w:left="960" w:right="960"/>
        </w:sectPr>
      </w:pPr>
    </w:p>
    <w:p>
      <w:pPr>
        <w:pStyle w:val="BodyText"/>
        <w:rPr>
          <w:sz w:val="12"/>
        </w:rPr>
      </w:pPr>
    </w:p>
    <w:p>
      <w:pPr>
        <w:spacing w:before="1"/>
        <w:ind w:left="249" w:right="0" w:firstLine="0"/>
        <w:jc w:val="left"/>
        <w:rPr>
          <w:sz w:val="12"/>
        </w:rPr>
      </w:pPr>
      <w:r>
        <w:rPr>
          <w:color w:val="636466"/>
          <w:sz w:val="12"/>
        </w:rPr>
        <w:t>Page 186</w:t>
      </w:r>
    </w:p>
    <w:p>
      <w:pPr>
        <w:spacing w:line="169" w:lineRule="exact" w:before="0"/>
        <w:ind w:left="249" w:right="0" w:firstLine="0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58"/>
        <w:ind w:left="1965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90"/>
          <w:sz w:val="14"/>
        </w:rPr>
        <w:t>CHAPTER 11 </w:t>
      </w:r>
      <w:r>
        <w:rPr>
          <w:rFonts w:ascii="ITC Avant Garde Gothic"/>
          <w:color w:val="939598"/>
          <w:w w:val="90"/>
          <w:sz w:val="14"/>
        </w:rPr>
        <w:t>Closing Your Practice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500" w:bottom="280" w:left="960" w:right="960"/>
          <w:cols w:num="2" w:equalWidth="0">
            <w:col w:w="764" w:space="5523"/>
            <w:col w:w="4033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2017-04-05T10:47:04Z</dcterms:created>
  <dcterms:modified xsi:type="dcterms:W3CDTF">2017-04-05T10:47:04Z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