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2BA1EC" w14:textId="77777777" w:rsidR="0063128A" w:rsidRPr="00D261DC" w:rsidRDefault="0063128A" w:rsidP="0087256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61DC">
        <w:rPr>
          <w:rFonts w:ascii="Times New Roman" w:hAnsi="Times New Roman" w:cs="Times New Roman"/>
          <w:b/>
          <w:bCs/>
          <w:sz w:val="28"/>
          <w:szCs w:val="28"/>
        </w:rPr>
        <w:t>SUPREME COURT OF LOUISIANA</w:t>
      </w:r>
    </w:p>
    <w:p w14:paraId="03EFBCE5" w14:textId="77777777" w:rsidR="0063128A" w:rsidRPr="00D261DC" w:rsidRDefault="0063128A" w:rsidP="0087256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61DC">
        <w:rPr>
          <w:rFonts w:ascii="Times New Roman" w:hAnsi="Times New Roman" w:cs="Times New Roman"/>
          <w:b/>
          <w:bCs/>
          <w:sz w:val="28"/>
          <w:szCs w:val="28"/>
        </w:rPr>
        <w:t>________</w:t>
      </w:r>
    </w:p>
    <w:p w14:paraId="1F2E4EDF" w14:textId="77777777" w:rsidR="0063128A" w:rsidRPr="00D261DC" w:rsidRDefault="0063128A" w:rsidP="008725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61DC">
        <w:rPr>
          <w:rFonts w:ascii="Times New Roman" w:hAnsi="Times New Roman" w:cs="Times New Roman"/>
          <w:b/>
          <w:bCs/>
          <w:sz w:val="28"/>
          <w:szCs w:val="28"/>
        </w:rPr>
        <w:t>ORDER</w:t>
      </w:r>
    </w:p>
    <w:p w14:paraId="66E5AC8B" w14:textId="4A60819C" w:rsidR="00872565" w:rsidRPr="00D261DC" w:rsidRDefault="0063128A" w:rsidP="0087256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61DC">
        <w:rPr>
          <w:rFonts w:ascii="Times New Roman" w:hAnsi="Times New Roman" w:cs="Times New Roman"/>
          <w:b/>
          <w:bCs/>
          <w:sz w:val="28"/>
          <w:szCs w:val="28"/>
        </w:rPr>
        <w:t>________</w:t>
      </w:r>
    </w:p>
    <w:p w14:paraId="6BEE18FC" w14:textId="77777777" w:rsidR="00872565" w:rsidRPr="0063128A" w:rsidRDefault="00872565" w:rsidP="008725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76BE68" w14:textId="3F14A1CC" w:rsidR="00D21678" w:rsidRDefault="0063128A" w:rsidP="00D261D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128A" w:rsidDel="00872565">
        <w:rPr>
          <w:rFonts w:ascii="Times New Roman" w:hAnsi="Times New Roman" w:cs="Times New Roman"/>
          <w:sz w:val="28"/>
          <w:szCs w:val="28"/>
        </w:rPr>
        <w:t>Acting in accordance with Article V, Sections 1 and 5 of the 1974 Louisiana</w:t>
      </w:r>
      <w:r w:rsidR="00D261DC">
        <w:rPr>
          <w:rFonts w:ascii="Times New Roman" w:hAnsi="Times New Roman" w:cs="Times New Roman"/>
          <w:sz w:val="28"/>
          <w:szCs w:val="28"/>
        </w:rPr>
        <w:t xml:space="preserve"> </w:t>
      </w:r>
      <w:r w:rsidRPr="0063128A" w:rsidDel="00872565">
        <w:rPr>
          <w:rFonts w:ascii="Times New Roman" w:hAnsi="Times New Roman" w:cs="Times New Roman"/>
          <w:sz w:val="28"/>
          <w:szCs w:val="28"/>
        </w:rPr>
        <w:t>Constitution, and the inherent power of this Court, and considering the need to</w:t>
      </w:r>
      <w:r w:rsidR="0047010B" w:rsidDel="00872565">
        <w:rPr>
          <w:rFonts w:ascii="Times New Roman" w:hAnsi="Times New Roman" w:cs="Times New Roman"/>
          <w:sz w:val="28"/>
          <w:szCs w:val="28"/>
        </w:rPr>
        <w:t xml:space="preserve"> </w:t>
      </w:r>
      <w:r w:rsidR="005C37AC">
        <w:rPr>
          <w:rFonts w:ascii="Times New Roman" w:hAnsi="Times New Roman" w:cs="Times New Roman"/>
          <w:sz w:val="28"/>
          <w:szCs w:val="28"/>
        </w:rPr>
        <w:t>amend</w:t>
      </w:r>
      <w:r w:rsidR="00D5020A" w:rsidDel="00872565">
        <w:rPr>
          <w:rFonts w:ascii="Times New Roman" w:hAnsi="Times New Roman" w:cs="Times New Roman"/>
          <w:sz w:val="28"/>
          <w:szCs w:val="28"/>
        </w:rPr>
        <w:t xml:space="preserve"> Section 4 of</w:t>
      </w:r>
      <w:r w:rsidR="00DE3158" w:rsidDel="00872565">
        <w:rPr>
          <w:rFonts w:ascii="Times New Roman" w:hAnsi="Times New Roman" w:cs="Times New Roman"/>
          <w:sz w:val="28"/>
          <w:szCs w:val="28"/>
        </w:rPr>
        <w:t xml:space="preserve"> </w:t>
      </w:r>
      <w:r w:rsidR="005A5A53" w:rsidDel="00872565">
        <w:rPr>
          <w:rFonts w:ascii="Times New Roman" w:hAnsi="Times New Roman" w:cs="Times New Roman"/>
          <w:sz w:val="28"/>
          <w:szCs w:val="28"/>
        </w:rPr>
        <w:t xml:space="preserve">Rule XXVII </w:t>
      </w:r>
      <w:r w:rsidR="00DE3158" w:rsidDel="00872565">
        <w:rPr>
          <w:rFonts w:ascii="Times New Roman" w:hAnsi="Times New Roman" w:cs="Times New Roman"/>
          <w:sz w:val="28"/>
          <w:szCs w:val="28"/>
        </w:rPr>
        <w:t xml:space="preserve">of </w:t>
      </w:r>
      <w:r w:rsidR="005A5A53" w:rsidDel="00872565">
        <w:rPr>
          <w:rFonts w:ascii="Times New Roman" w:hAnsi="Times New Roman" w:cs="Times New Roman"/>
          <w:sz w:val="28"/>
          <w:szCs w:val="28"/>
        </w:rPr>
        <w:t>the Rules of this Court</w:t>
      </w:r>
      <w:r w:rsidR="005C37AC">
        <w:rPr>
          <w:rFonts w:ascii="Times New Roman" w:hAnsi="Times New Roman" w:cs="Times New Roman"/>
          <w:sz w:val="28"/>
          <w:szCs w:val="28"/>
        </w:rPr>
        <w:t>,</w:t>
      </w:r>
    </w:p>
    <w:p w14:paraId="6785BC9A" w14:textId="641ACF2F" w:rsidR="007B5358" w:rsidRDefault="0063128A" w:rsidP="0087256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128A">
        <w:rPr>
          <w:rFonts w:ascii="Times New Roman" w:hAnsi="Times New Roman" w:cs="Times New Roman"/>
          <w:sz w:val="28"/>
          <w:szCs w:val="28"/>
        </w:rPr>
        <w:t>IT IS HEREBY ORDERED, ADJUDGED AND DECREED THAT</w:t>
      </w:r>
      <w:r w:rsidR="005C37AC">
        <w:rPr>
          <w:rFonts w:ascii="Times New Roman" w:hAnsi="Times New Roman" w:cs="Times New Roman"/>
          <w:sz w:val="28"/>
          <w:szCs w:val="28"/>
        </w:rPr>
        <w:t>:</w:t>
      </w:r>
      <w:r w:rsidR="005A5A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02FA6D" w14:textId="0E3220BD" w:rsidR="007830A4" w:rsidRPr="00D30062" w:rsidRDefault="005C37AC" w:rsidP="00D30062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37AC">
        <w:rPr>
          <w:rFonts w:ascii="Times New Roman" w:hAnsi="Times New Roman" w:cs="Times New Roman"/>
          <w:sz w:val="28"/>
          <w:szCs w:val="28"/>
        </w:rPr>
        <w:t xml:space="preserve">Louisiana Supreme Court Rule </w:t>
      </w:r>
      <w:r>
        <w:rPr>
          <w:rFonts w:ascii="Times New Roman" w:hAnsi="Times New Roman" w:cs="Times New Roman"/>
          <w:sz w:val="28"/>
          <w:szCs w:val="28"/>
        </w:rPr>
        <w:t>XX</w:t>
      </w:r>
      <w:r w:rsidRPr="005C37AC">
        <w:rPr>
          <w:rFonts w:ascii="Times New Roman" w:hAnsi="Times New Roman" w:cs="Times New Roman"/>
          <w:sz w:val="28"/>
          <w:szCs w:val="28"/>
          <w:lang w:val="en-CA"/>
        </w:rPr>
        <w:fldChar w:fldCharType="begin"/>
      </w:r>
      <w:r w:rsidRPr="005C37AC">
        <w:rPr>
          <w:rFonts w:ascii="Times New Roman" w:hAnsi="Times New Roman" w:cs="Times New Roman"/>
          <w:sz w:val="28"/>
          <w:szCs w:val="28"/>
          <w:lang w:val="en-CA"/>
        </w:rPr>
        <w:instrText xml:space="preserve"> SEQ CHAPTER \h \r 1</w:instrText>
      </w:r>
      <w:r w:rsidRPr="005C37AC">
        <w:rPr>
          <w:rFonts w:ascii="Times New Roman" w:hAnsi="Times New Roman" w:cs="Times New Roman"/>
          <w:sz w:val="28"/>
          <w:szCs w:val="28"/>
        </w:rPr>
        <w:fldChar w:fldCharType="end"/>
      </w:r>
      <w:r w:rsidRPr="005C37AC">
        <w:rPr>
          <w:rFonts w:ascii="Times New Roman" w:hAnsi="Times New Roman" w:cs="Times New Roman"/>
          <w:sz w:val="28"/>
          <w:szCs w:val="28"/>
          <w:lang w:val="en-CA"/>
        </w:rPr>
        <w:t>VII</w:t>
      </w:r>
      <w:r w:rsidRPr="005C37AC">
        <w:rPr>
          <w:rFonts w:ascii="Times New Roman" w:hAnsi="Times New Roman" w:cs="Times New Roman"/>
          <w:sz w:val="28"/>
          <w:szCs w:val="28"/>
        </w:rPr>
        <w:t xml:space="preserve">, Section </w:t>
      </w:r>
      <w:r>
        <w:rPr>
          <w:rFonts w:ascii="Times New Roman" w:hAnsi="Times New Roman" w:cs="Times New Roman"/>
          <w:sz w:val="28"/>
          <w:szCs w:val="28"/>
        </w:rPr>
        <w:t>4(d)</w:t>
      </w:r>
      <w:r w:rsidRPr="005C37AC">
        <w:rPr>
          <w:rFonts w:ascii="Times New Roman" w:hAnsi="Times New Roman" w:cs="Times New Roman"/>
          <w:sz w:val="28"/>
          <w:szCs w:val="28"/>
        </w:rPr>
        <w:t>, be and is hereby amended to read as follows:</w:t>
      </w:r>
    </w:p>
    <w:p w14:paraId="43502983" w14:textId="72B86280" w:rsidR="00D63045" w:rsidRPr="00D9279E" w:rsidRDefault="00A977B8" w:rsidP="00D30062">
      <w:pPr>
        <w:pStyle w:val="ListParagraph"/>
        <w:numPr>
          <w:ilvl w:val="0"/>
          <w:numId w:val="2"/>
        </w:numPr>
        <w:spacing w:after="0" w:line="240" w:lineRule="auto"/>
        <w:ind w:left="1166" w:right="720" w:hanging="446"/>
        <w:jc w:val="both"/>
        <w:rPr>
          <w:rFonts w:ascii="Times New Roman" w:hAnsi="Times New Roman" w:cs="Times New Roman"/>
          <w:sz w:val="28"/>
          <w:szCs w:val="28"/>
        </w:rPr>
      </w:pPr>
      <w:r w:rsidRPr="00A977B8">
        <w:rPr>
          <w:rFonts w:ascii="Times New Roman" w:hAnsi="Times New Roman" w:cs="Times New Roman"/>
          <w:sz w:val="28"/>
          <w:szCs w:val="28"/>
        </w:rPr>
        <w:t xml:space="preserve">Law 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A977B8">
        <w:rPr>
          <w:rFonts w:ascii="Times New Roman" w:hAnsi="Times New Roman" w:cs="Times New Roman"/>
          <w:sz w:val="28"/>
          <w:szCs w:val="28"/>
        </w:rPr>
        <w:t xml:space="preserve">nforcement is not required to obtain and certify information for offenses outside of </w:t>
      </w:r>
      <w:r w:rsidR="00D30062">
        <w:rPr>
          <w:rFonts w:ascii="Times New Roman" w:hAnsi="Times New Roman" w:cs="Times New Roman"/>
          <w:sz w:val="28"/>
          <w:szCs w:val="28"/>
        </w:rPr>
        <w:t>the parish of booking</w:t>
      </w:r>
      <w:r w:rsidRPr="00A977B8">
        <w:rPr>
          <w:rFonts w:ascii="Times New Roman" w:hAnsi="Times New Roman" w:cs="Times New Roman"/>
          <w:sz w:val="28"/>
          <w:szCs w:val="28"/>
        </w:rPr>
        <w:t>, but shall otherwise diligently perform its duties concerning offenses within its jurisdiction.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0A4">
        <w:rPr>
          <w:rFonts w:ascii="Times New Roman" w:hAnsi="Times New Roman" w:cs="Times New Roman"/>
          <w:sz w:val="28"/>
          <w:szCs w:val="28"/>
        </w:rPr>
        <w:t xml:space="preserve">In any instance wherein a judge, magistrate, or commissioner is charged with setting </w:t>
      </w:r>
      <w:r w:rsidR="00A93AE1">
        <w:rPr>
          <w:rFonts w:ascii="Times New Roman" w:hAnsi="Times New Roman" w:cs="Times New Roman"/>
          <w:sz w:val="28"/>
          <w:szCs w:val="28"/>
        </w:rPr>
        <w:t>bail</w:t>
      </w:r>
      <w:r w:rsidR="007830A4">
        <w:rPr>
          <w:rFonts w:ascii="Times New Roman" w:hAnsi="Times New Roman" w:cs="Times New Roman"/>
          <w:sz w:val="28"/>
          <w:szCs w:val="28"/>
        </w:rPr>
        <w:t xml:space="preserve"> for a felony arrest, and law enforcement is unable to discern and certify to the </w:t>
      </w:r>
      <w:r w:rsidR="00A93AE1">
        <w:rPr>
          <w:rFonts w:ascii="Times New Roman" w:hAnsi="Times New Roman" w:cs="Times New Roman"/>
          <w:sz w:val="28"/>
          <w:szCs w:val="28"/>
        </w:rPr>
        <w:t xml:space="preserve">setting </w:t>
      </w:r>
      <w:r w:rsidR="00D9279E">
        <w:rPr>
          <w:rFonts w:ascii="Times New Roman" w:hAnsi="Times New Roman" w:cs="Times New Roman"/>
          <w:sz w:val="28"/>
          <w:szCs w:val="28"/>
        </w:rPr>
        <w:t xml:space="preserve">court whether the arrested individual is currently on </w:t>
      </w:r>
      <w:r w:rsidR="002E18CA">
        <w:rPr>
          <w:rFonts w:ascii="Times New Roman" w:hAnsi="Times New Roman" w:cs="Times New Roman"/>
          <w:sz w:val="28"/>
          <w:szCs w:val="28"/>
        </w:rPr>
        <w:t xml:space="preserve">bail </w:t>
      </w:r>
      <w:r w:rsidR="00D9279E">
        <w:rPr>
          <w:rFonts w:ascii="Times New Roman" w:hAnsi="Times New Roman" w:cs="Times New Roman"/>
          <w:sz w:val="28"/>
          <w:szCs w:val="28"/>
        </w:rPr>
        <w:t xml:space="preserve">for any crime of violence, any sex offense, or any crime involving the possession or use of a firearm, the setting court </w:t>
      </w:r>
      <w:r w:rsidRPr="00A977B8">
        <w:rPr>
          <w:rFonts w:ascii="Times New Roman" w:hAnsi="Times New Roman" w:cs="Times New Roman"/>
          <w:sz w:val="28"/>
          <w:szCs w:val="28"/>
        </w:rPr>
        <w:t xml:space="preserve">shall not be required to immediately revoke </w:t>
      </w:r>
      <w:r>
        <w:rPr>
          <w:rFonts w:ascii="Times New Roman" w:hAnsi="Times New Roman" w:cs="Times New Roman"/>
          <w:sz w:val="28"/>
          <w:szCs w:val="28"/>
        </w:rPr>
        <w:t xml:space="preserve">bail </w:t>
      </w:r>
      <w:r w:rsidR="00D9279E">
        <w:rPr>
          <w:rFonts w:ascii="Times New Roman" w:hAnsi="Times New Roman" w:cs="Times New Roman"/>
          <w:sz w:val="28"/>
          <w:szCs w:val="28"/>
        </w:rPr>
        <w:t xml:space="preserve">and </w:t>
      </w:r>
      <w:r>
        <w:rPr>
          <w:rFonts w:ascii="Times New Roman" w:hAnsi="Times New Roman" w:cs="Times New Roman"/>
          <w:sz w:val="28"/>
          <w:szCs w:val="28"/>
        </w:rPr>
        <w:t>may</w:t>
      </w:r>
      <w:r w:rsidR="00D9279E">
        <w:rPr>
          <w:rFonts w:ascii="Times New Roman" w:hAnsi="Times New Roman" w:cs="Times New Roman"/>
          <w:sz w:val="28"/>
          <w:szCs w:val="28"/>
        </w:rPr>
        <w:t xml:space="preserve"> instead fix the matter for a contradictory hearing within thirty (30) days</w:t>
      </w:r>
      <w:r w:rsidR="00A93AE1">
        <w:rPr>
          <w:rFonts w:ascii="Times New Roman" w:hAnsi="Times New Roman" w:cs="Times New Roman"/>
          <w:sz w:val="28"/>
          <w:szCs w:val="28"/>
        </w:rPr>
        <w:t>,</w:t>
      </w:r>
      <w:r w:rsidR="00D9279E">
        <w:rPr>
          <w:rFonts w:ascii="Times New Roman" w:hAnsi="Times New Roman" w:cs="Times New Roman"/>
          <w:sz w:val="28"/>
          <w:szCs w:val="28"/>
        </w:rPr>
        <w:t xml:space="preserve"> at which time the prosecuting authority shall provide information relating to any existing bail obligation</w:t>
      </w:r>
      <w:r w:rsidR="00423C35">
        <w:rPr>
          <w:rFonts w:ascii="Times New Roman" w:hAnsi="Times New Roman" w:cs="Times New Roman"/>
          <w:sz w:val="28"/>
          <w:szCs w:val="28"/>
        </w:rPr>
        <w:t>(</w:t>
      </w:r>
      <w:r w:rsidR="00D9279E">
        <w:rPr>
          <w:rFonts w:ascii="Times New Roman" w:hAnsi="Times New Roman" w:cs="Times New Roman"/>
          <w:sz w:val="28"/>
          <w:szCs w:val="28"/>
        </w:rPr>
        <w:t>s</w:t>
      </w:r>
      <w:r w:rsidR="00423C35">
        <w:rPr>
          <w:rFonts w:ascii="Times New Roman" w:hAnsi="Times New Roman" w:cs="Times New Roman"/>
          <w:sz w:val="28"/>
          <w:szCs w:val="28"/>
        </w:rPr>
        <w:t>)</w:t>
      </w:r>
      <w:r w:rsidR="00D9279E">
        <w:rPr>
          <w:rFonts w:ascii="Times New Roman" w:hAnsi="Times New Roman" w:cs="Times New Roman"/>
          <w:sz w:val="28"/>
          <w:szCs w:val="28"/>
        </w:rPr>
        <w:t xml:space="preserve"> in order for the court to make any determinations required by Article 312.1</w:t>
      </w:r>
      <w:r w:rsidR="00A21CAD">
        <w:rPr>
          <w:rFonts w:ascii="Times New Roman" w:hAnsi="Times New Roman" w:cs="Times New Roman"/>
          <w:sz w:val="28"/>
          <w:szCs w:val="28"/>
        </w:rPr>
        <w:t xml:space="preserve"> or Subsection (b)</w:t>
      </w:r>
      <w:r w:rsidR="00D9279E">
        <w:rPr>
          <w:rFonts w:ascii="Times New Roman" w:hAnsi="Times New Roman" w:cs="Times New Roman"/>
          <w:sz w:val="28"/>
          <w:szCs w:val="28"/>
        </w:rPr>
        <w:t xml:space="preserve">. </w:t>
      </w:r>
      <w:r w:rsidR="00A21CAD">
        <w:rPr>
          <w:rFonts w:ascii="Times New Roman" w:hAnsi="Times New Roman" w:cs="Times New Roman"/>
          <w:sz w:val="28"/>
          <w:szCs w:val="28"/>
        </w:rPr>
        <w:t xml:space="preserve"> </w:t>
      </w:r>
      <w:r w:rsidR="00D9279E">
        <w:rPr>
          <w:rFonts w:ascii="Times New Roman" w:hAnsi="Times New Roman" w:cs="Times New Roman"/>
          <w:sz w:val="28"/>
          <w:szCs w:val="28"/>
        </w:rPr>
        <w:t>If the prosecuting authority determines that a revocation is not required by Article 312.1</w:t>
      </w:r>
      <w:r w:rsidR="00BF3C6B">
        <w:rPr>
          <w:rFonts w:ascii="Times New Roman" w:hAnsi="Times New Roman" w:cs="Times New Roman"/>
          <w:sz w:val="28"/>
          <w:szCs w:val="28"/>
        </w:rPr>
        <w:t>,</w:t>
      </w:r>
      <w:r w:rsidR="00D9279E">
        <w:rPr>
          <w:rFonts w:ascii="Times New Roman" w:hAnsi="Times New Roman" w:cs="Times New Roman"/>
          <w:sz w:val="28"/>
          <w:szCs w:val="28"/>
        </w:rPr>
        <w:t xml:space="preserve"> it shall provide written notice to the </w:t>
      </w:r>
      <w:r w:rsidR="007A3FB6">
        <w:rPr>
          <w:rFonts w:ascii="Times New Roman" w:hAnsi="Times New Roman" w:cs="Times New Roman"/>
          <w:sz w:val="28"/>
          <w:szCs w:val="28"/>
        </w:rPr>
        <w:t>c</w:t>
      </w:r>
      <w:r w:rsidR="00D9279E">
        <w:rPr>
          <w:rFonts w:ascii="Times New Roman" w:hAnsi="Times New Roman" w:cs="Times New Roman"/>
          <w:sz w:val="28"/>
          <w:szCs w:val="28"/>
        </w:rPr>
        <w:t>ourt at least ten (10) days prior to the scheduled hearing</w:t>
      </w:r>
      <w:r w:rsidR="00423C35">
        <w:rPr>
          <w:rFonts w:ascii="Times New Roman" w:hAnsi="Times New Roman" w:cs="Times New Roman"/>
          <w:sz w:val="28"/>
          <w:szCs w:val="28"/>
        </w:rPr>
        <w:t>,</w:t>
      </w:r>
      <w:r w:rsidR="00D9279E">
        <w:rPr>
          <w:rFonts w:ascii="Times New Roman" w:hAnsi="Times New Roman" w:cs="Times New Roman"/>
          <w:sz w:val="28"/>
          <w:szCs w:val="28"/>
        </w:rPr>
        <w:t xml:space="preserve"> and the </w:t>
      </w:r>
      <w:r w:rsidR="007A3FB6">
        <w:rPr>
          <w:rFonts w:ascii="Times New Roman" w:hAnsi="Times New Roman" w:cs="Times New Roman"/>
          <w:sz w:val="28"/>
          <w:szCs w:val="28"/>
        </w:rPr>
        <w:t>c</w:t>
      </w:r>
      <w:r w:rsidR="00D9279E">
        <w:rPr>
          <w:rFonts w:ascii="Times New Roman" w:hAnsi="Times New Roman" w:cs="Times New Roman"/>
          <w:sz w:val="28"/>
          <w:szCs w:val="28"/>
        </w:rPr>
        <w:t>ourt may cancel the hearing.</w:t>
      </w:r>
    </w:p>
    <w:p w14:paraId="5A0A6563" w14:textId="77777777" w:rsidR="00BF3C6B" w:rsidRDefault="00C36B46" w:rsidP="00C36B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620A39A" w14:textId="31FB735F" w:rsidR="00C36B46" w:rsidRPr="00C36B46" w:rsidRDefault="00C36B46" w:rsidP="00A977B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36B46">
        <w:rPr>
          <w:rFonts w:ascii="Times New Roman" w:hAnsi="Times New Roman" w:cs="Times New Roman"/>
          <w:sz w:val="28"/>
          <w:szCs w:val="28"/>
        </w:rPr>
        <w:t xml:space="preserve">This Rule change shall become effective </w:t>
      </w:r>
      <w:r w:rsidR="00E95CBE">
        <w:rPr>
          <w:rFonts w:ascii="Times New Roman" w:hAnsi="Times New Roman" w:cs="Times New Roman"/>
          <w:sz w:val="28"/>
          <w:szCs w:val="28"/>
        </w:rPr>
        <w:t>upon signing</w:t>
      </w:r>
      <w:r w:rsidR="0050228B">
        <w:rPr>
          <w:rFonts w:ascii="Times New Roman" w:hAnsi="Times New Roman" w:cs="Times New Roman"/>
          <w:sz w:val="28"/>
          <w:szCs w:val="28"/>
        </w:rPr>
        <w:t>,</w:t>
      </w:r>
      <w:r w:rsidRPr="00C36B46">
        <w:rPr>
          <w:rFonts w:ascii="Times New Roman" w:hAnsi="Times New Roman" w:cs="Times New Roman"/>
          <w:sz w:val="28"/>
          <w:szCs w:val="28"/>
        </w:rPr>
        <w:t xml:space="preserve"> and shall remain in</w:t>
      </w:r>
      <w:r w:rsidR="00D9279E">
        <w:rPr>
          <w:rFonts w:ascii="Times New Roman" w:hAnsi="Times New Roman" w:cs="Times New Roman"/>
          <w:sz w:val="28"/>
          <w:szCs w:val="28"/>
        </w:rPr>
        <w:t xml:space="preserve"> </w:t>
      </w:r>
      <w:r w:rsidRPr="00C36B46">
        <w:rPr>
          <w:rFonts w:ascii="Times New Roman" w:hAnsi="Times New Roman" w:cs="Times New Roman"/>
          <w:sz w:val="28"/>
          <w:szCs w:val="28"/>
        </w:rPr>
        <w:t>full force and effect thereafter, until amended or changed through future Orders of</w:t>
      </w:r>
      <w:r w:rsidR="00D9279E">
        <w:rPr>
          <w:rFonts w:ascii="Times New Roman" w:hAnsi="Times New Roman" w:cs="Times New Roman"/>
          <w:sz w:val="28"/>
          <w:szCs w:val="28"/>
        </w:rPr>
        <w:t xml:space="preserve"> </w:t>
      </w:r>
      <w:r w:rsidRPr="00C36B46">
        <w:rPr>
          <w:rFonts w:ascii="Times New Roman" w:hAnsi="Times New Roman" w:cs="Times New Roman"/>
          <w:sz w:val="28"/>
          <w:szCs w:val="28"/>
        </w:rPr>
        <w:t>this Court.</w:t>
      </w:r>
    </w:p>
    <w:p w14:paraId="2D3104DE" w14:textId="4FAE9434" w:rsidR="00C36B46" w:rsidRDefault="00C36B46" w:rsidP="00C36B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36B46">
        <w:rPr>
          <w:rFonts w:ascii="Times New Roman" w:hAnsi="Times New Roman" w:cs="Times New Roman"/>
          <w:sz w:val="28"/>
          <w:szCs w:val="28"/>
        </w:rPr>
        <w:t xml:space="preserve">New Orleans, Louisiana, this ________ day of </w:t>
      </w:r>
      <w:r w:rsidR="00E95CBE">
        <w:rPr>
          <w:rFonts w:ascii="Times New Roman" w:hAnsi="Times New Roman" w:cs="Times New Roman"/>
          <w:sz w:val="28"/>
          <w:szCs w:val="28"/>
        </w:rPr>
        <w:t>September</w:t>
      </w:r>
      <w:r w:rsidRPr="00C36B46">
        <w:rPr>
          <w:rFonts w:ascii="Times New Roman" w:hAnsi="Times New Roman" w:cs="Times New Roman"/>
          <w:sz w:val="28"/>
          <w:szCs w:val="28"/>
        </w:rPr>
        <w:t>, 2026</w:t>
      </w:r>
    </w:p>
    <w:p w14:paraId="7B3C6AF8" w14:textId="77777777" w:rsidR="0050228B" w:rsidRPr="00C36B46" w:rsidRDefault="0050228B" w:rsidP="00C36B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947BC9" w14:textId="0E228FFE" w:rsidR="00C36B46" w:rsidRPr="00C36B46" w:rsidRDefault="00C36B46" w:rsidP="00C36B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36B46">
        <w:rPr>
          <w:rFonts w:ascii="Times New Roman" w:hAnsi="Times New Roman" w:cs="Times New Roman"/>
          <w:sz w:val="28"/>
          <w:szCs w:val="28"/>
        </w:rPr>
        <w:t>FOR THE COURT:</w:t>
      </w:r>
    </w:p>
    <w:p w14:paraId="2BD68932" w14:textId="77777777" w:rsidR="00C36B46" w:rsidRDefault="00C36B46" w:rsidP="00C36B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B5EC85D" w14:textId="69EB341F" w:rsidR="00C36B46" w:rsidRDefault="00C36B46" w:rsidP="00A97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36B4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3CD036CA" w14:textId="2C6F6A8C" w:rsidR="0050228B" w:rsidRPr="0063128A" w:rsidRDefault="0050228B" w:rsidP="00C36B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John L. Weimer, Chief Justice</w:t>
      </w:r>
    </w:p>
    <w:sectPr w:rsidR="0050228B" w:rsidRPr="0063128A" w:rsidSect="00DE3158">
      <w:footerReference w:type="default" r:id="rId8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A03A3F" w14:textId="77777777" w:rsidR="002B33CF" w:rsidRDefault="002B33CF" w:rsidP="00DE3158">
      <w:pPr>
        <w:spacing w:after="0" w:line="240" w:lineRule="auto"/>
      </w:pPr>
      <w:r>
        <w:separator/>
      </w:r>
    </w:p>
  </w:endnote>
  <w:endnote w:type="continuationSeparator" w:id="0">
    <w:p w14:paraId="217A3112" w14:textId="77777777" w:rsidR="002B33CF" w:rsidRDefault="002B33CF" w:rsidP="00DE3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C5A6E4" w14:textId="43C46F83" w:rsidR="00DE3158" w:rsidRDefault="00DE3158" w:rsidP="00E95CBE">
    <w:pPr>
      <w:pStyle w:val="Footer"/>
    </w:pPr>
  </w:p>
  <w:p w14:paraId="459B6BF5" w14:textId="77777777" w:rsidR="00DE3158" w:rsidRDefault="00DE31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3B6589" w14:textId="77777777" w:rsidR="002B33CF" w:rsidRDefault="002B33CF" w:rsidP="00DE3158">
      <w:pPr>
        <w:spacing w:after="0" w:line="240" w:lineRule="auto"/>
      </w:pPr>
      <w:r>
        <w:separator/>
      </w:r>
    </w:p>
  </w:footnote>
  <w:footnote w:type="continuationSeparator" w:id="0">
    <w:p w14:paraId="2F11A587" w14:textId="77777777" w:rsidR="002B33CF" w:rsidRDefault="002B33CF" w:rsidP="00DE31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BB55FA"/>
    <w:multiLevelType w:val="hybridMultilevel"/>
    <w:tmpl w:val="D58617E6"/>
    <w:lvl w:ilvl="0" w:tplc="60C25BC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C23723"/>
    <w:multiLevelType w:val="hybridMultilevel"/>
    <w:tmpl w:val="4692D1EC"/>
    <w:lvl w:ilvl="0" w:tplc="326C9F5E">
      <w:start w:val="4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44986992">
    <w:abstractNumId w:val="0"/>
  </w:num>
  <w:num w:numId="2" w16cid:durableId="51368739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06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8A"/>
    <w:rsid w:val="00023965"/>
    <w:rsid w:val="000308F6"/>
    <w:rsid w:val="00036F94"/>
    <w:rsid w:val="000605AF"/>
    <w:rsid w:val="00064ED4"/>
    <w:rsid w:val="000847D4"/>
    <w:rsid w:val="00085533"/>
    <w:rsid w:val="000A0D5B"/>
    <w:rsid w:val="000D2A9C"/>
    <w:rsid w:val="000F14FE"/>
    <w:rsid w:val="00102E8B"/>
    <w:rsid w:val="001144BA"/>
    <w:rsid w:val="001274F2"/>
    <w:rsid w:val="00134FA0"/>
    <w:rsid w:val="00136D0A"/>
    <w:rsid w:val="00137ADF"/>
    <w:rsid w:val="0014489C"/>
    <w:rsid w:val="001574B7"/>
    <w:rsid w:val="00160376"/>
    <w:rsid w:val="00183569"/>
    <w:rsid w:val="00185871"/>
    <w:rsid w:val="0018755A"/>
    <w:rsid w:val="001B1743"/>
    <w:rsid w:val="001C1326"/>
    <w:rsid w:val="001E7DB5"/>
    <w:rsid w:val="002068B3"/>
    <w:rsid w:val="002074C0"/>
    <w:rsid w:val="00207E8F"/>
    <w:rsid w:val="002148C5"/>
    <w:rsid w:val="00226AC9"/>
    <w:rsid w:val="00227F98"/>
    <w:rsid w:val="00233553"/>
    <w:rsid w:val="00245581"/>
    <w:rsid w:val="00263EC6"/>
    <w:rsid w:val="00270308"/>
    <w:rsid w:val="002B33CF"/>
    <w:rsid w:val="002C41AC"/>
    <w:rsid w:val="002E18CA"/>
    <w:rsid w:val="002E60C1"/>
    <w:rsid w:val="002F4584"/>
    <w:rsid w:val="002F7E62"/>
    <w:rsid w:val="003046BC"/>
    <w:rsid w:val="003058D6"/>
    <w:rsid w:val="00324552"/>
    <w:rsid w:val="003346D6"/>
    <w:rsid w:val="0035614C"/>
    <w:rsid w:val="00380165"/>
    <w:rsid w:val="00394BEB"/>
    <w:rsid w:val="003B7515"/>
    <w:rsid w:val="003E3285"/>
    <w:rsid w:val="0040630A"/>
    <w:rsid w:val="0041555F"/>
    <w:rsid w:val="00423C35"/>
    <w:rsid w:val="00440FF9"/>
    <w:rsid w:val="00442240"/>
    <w:rsid w:val="0044538A"/>
    <w:rsid w:val="004630F7"/>
    <w:rsid w:val="0047010B"/>
    <w:rsid w:val="0047385F"/>
    <w:rsid w:val="004A7A42"/>
    <w:rsid w:val="004C136F"/>
    <w:rsid w:val="004D0943"/>
    <w:rsid w:val="004F5A38"/>
    <w:rsid w:val="005010F4"/>
    <w:rsid w:val="0050228B"/>
    <w:rsid w:val="005024FA"/>
    <w:rsid w:val="00502CA9"/>
    <w:rsid w:val="005275F4"/>
    <w:rsid w:val="00540A47"/>
    <w:rsid w:val="005565FE"/>
    <w:rsid w:val="00570205"/>
    <w:rsid w:val="00574E89"/>
    <w:rsid w:val="00574F4E"/>
    <w:rsid w:val="0058094C"/>
    <w:rsid w:val="005960CC"/>
    <w:rsid w:val="005A08D4"/>
    <w:rsid w:val="005A5A53"/>
    <w:rsid w:val="005C27AF"/>
    <w:rsid w:val="005C3460"/>
    <w:rsid w:val="005C37AC"/>
    <w:rsid w:val="005C5C08"/>
    <w:rsid w:val="0061248D"/>
    <w:rsid w:val="00615131"/>
    <w:rsid w:val="0063128A"/>
    <w:rsid w:val="0064739D"/>
    <w:rsid w:val="00652E08"/>
    <w:rsid w:val="00660038"/>
    <w:rsid w:val="00670FF0"/>
    <w:rsid w:val="00674063"/>
    <w:rsid w:val="0069435C"/>
    <w:rsid w:val="006C28FC"/>
    <w:rsid w:val="006D77A5"/>
    <w:rsid w:val="006E3A57"/>
    <w:rsid w:val="007031E3"/>
    <w:rsid w:val="0072276B"/>
    <w:rsid w:val="00732A8F"/>
    <w:rsid w:val="00744CEE"/>
    <w:rsid w:val="00781EA1"/>
    <w:rsid w:val="007830A4"/>
    <w:rsid w:val="007A3FB6"/>
    <w:rsid w:val="007A6933"/>
    <w:rsid w:val="007B5358"/>
    <w:rsid w:val="00802C5F"/>
    <w:rsid w:val="00810CFE"/>
    <w:rsid w:val="00827DA7"/>
    <w:rsid w:val="008314B9"/>
    <w:rsid w:val="0083504C"/>
    <w:rsid w:val="00846920"/>
    <w:rsid w:val="00852C3C"/>
    <w:rsid w:val="00872565"/>
    <w:rsid w:val="008969B5"/>
    <w:rsid w:val="008B5C51"/>
    <w:rsid w:val="008E64E4"/>
    <w:rsid w:val="008E68CA"/>
    <w:rsid w:val="009106C0"/>
    <w:rsid w:val="00942687"/>
    <w:rsid w:val="0095035F"/>
    <w:rsid w:val="00974515"/>
    <w:rsid w:val="0098773D"/>
    <w:rsid w:val="009B02D2"/>
    <w:rsid w:val="009B2E88"/>
    <w:rsid w:val="009B3DB0"/>
    <w:rsid w:val="009B796A"/>
    <w:rsid w:val="009C0477"/>
    <w:rsid w:val="009F69CB"/>
    <w:rsid w:val="00A21CAD"/>
    <w:rsid w:val="00A22D07"/>
    <w:rsid w:val="00A40BAE"/>
    <w:rsid w:val="00A57985"/>
    <w:rsid w:val="00A71A07"/>
    <w:rsid w:val="00A80724"/>
    <w:rsid w:val="00A93AE1"/>
    <w:rsid w:val="00A960FE"/>
    <w:rsid w:val="00A977B8"/>
    <w:rsid w:val="00AC04FF"/>
    <w:rsid w:val="00AC1EC2"/>
    <w:rsid w:val="00B00626"/>
    <w:rsid w:val="00B10BF8"/>
    <w:rsid w:val="00B66CD0"/>
    <w:rsid w:val="00BC527B"/>
    <w:rsid w:val="00BE2D20"/>
    <w:rsid w:val="00BE3D6B"/>
    <w:rsid w:val="00BF3C6B"/>
    <w:rsid w:val="00C16AF6"/>
    <w:rsid w:val="00C17441"/>
    <w:rsid w:val="00C331A2"/>
    <w:rsid w:val="00C35A5E"/>
    <w:rsid w:val="00C36B46"/>
    <w:rsid w:val="00C419EE"/>
    <w:rsid w:val="00C42E8E"/>
    <w:rsid w:val="00C5226C"/>
    <w:rsid w:val="00C53D5C"/>
    <w:rsid w:val="00C62C85"/>
    <w:rsid w:val="00C728C9"/>
    <w:rsid w:val="00CC596D"/>
    <w:rsid w:val="00CC6119"/>
    <w:rsid w:val="00CF20CE"/>
    <w:rsid w:val="00D01830"/>
    <w:rsid w:val="00D21678"/>
    <w:rsid w:val="00D261DC"/>
    <w:rsid w:val="00D30062"/>
    <w:rsid w:val="00D5020A"/>
    <w:rsid w:val="00D60089"/>
    <w:rsid w:val="00D63045"/>
    <w:rsid w:val="00D7399B"/>
    <w:rsid w:val="00D8100A"/>
    <w:rsid w:val="00D84004"/>
    <w:rsid w:val="00D9279E"/>
    <w:rsid w:val="00D95DB4"/>
    <w:rsid w:val="00DA21A0"/>
    <w:rsid w:val="00DB4000"/>
    <w:rsid w:val="00DC6758"/>
    <w:rsid w:val="00DE3158"/>
    <w:rsid w:val="00DE4C80"/>
    <w:rsid w:val="00DF3208"/>
    <w:rsid w:val="00E03707"/>
    <w:rsid w:val="00E11D2A"/>
    <w:rsid w:val="00E159DF"/>
    <w:rsid w:val="00E7709D"/>
    <w:rsid w:val="00E82787"/>
    <w:rsid w:val="00E95CBE"/>
    <w:rsid w:val="00E973E5"/>
    <w:rsid w:val="00E97E1B"/>
    <w:rsid w:val="00EB5FDA"/>
    <w:rsid w:val="00ED2128"/>
    <w:rsid w:val="00F00617"/>
    <w:rsid w:val="00F1218F"/>
    <w:rsid w:val="00F157E2"/>
    <w:rsid w:val="00F25DAA"/>
    <w:rsid w:val="00F60F69"/>
    <w:rsid w:val="00F71C91"/>
    <w:rsid w:val="00F736B3"/>
    <w:rsid w:val="00F75069"/>
    <w:rsid w:val="00F7561F"/>
    <w:rsid w:val="00FA71CD"/>
    <w:rsid w:val="00FB26EE"/>
    <w:rsid w:val="00FB7DB4"/>
    <w:rsid w:val="00FC34D5"/>
    <w:rsid w:val="00FD3BBA"/>
    <w:rsid w:val="00FE43EE"/>
    <w:rsid w:val="00FF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8068A"/>
  <w15:chartTrackingRefBased/>
  <w15:docId w15:val="{60271399-C647-4B21-AC7F-DC448DEAA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1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312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2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2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2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2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28A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62C8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5A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A5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E3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158"/>
  </w:style>
  <w:style w:type="paragraph" w:styleId="Footer">
    <w:name w:val="footer"/>
    <w:basedOn w:val="Normal"/>
    <w:link w:val="FooterChar"/>
    <w:uiPriority w:val="99"/>
    <w:unhideWhenUsed/>
    <w:rsid w:val="00DE3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158"/>
  </w:style>
  <w:style w:type="character" w:styleId="CommentReference">
    <w:name w:val="annotation reference"/>
    <w:basedOn w:val="DefaultParagraphFont"/>
    <w:uiPriority w:val="99"/>
    <w:semiHidden/>
    <w:unhideWhenUsed/>
    <w:rsid w:val="00C331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31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31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1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1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BBC1D-8BE2-4974-882D-A53063EE5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1562</Characters>
  <Application>Microsoft Office Word</Application>
  <DocSecurity>0</DocSecurity>
  <Lines>39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Louisiana Supreme Court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Justice Cade Cole</dc:creator>
  <cp:keywords/>
  <dc:description/>
  <cp:lastModifiedBy>Marc Laporte</cp:lastModifiedBy>
  <cp:revision>2</cp:revision>
  <cp:lastPrinted>2026-09-10T15:02:00Z</cp:lastPrinted>
  <dcterms:created xsi:type="dcterms:W3CDTF">2026-09-21T14:08:00Z</dcterms:created>
  <dcterms:modified xsi:type="dcterms:W3CDTF">2026-09-21T14:08:00Z</dcterms:modified>
</cp:coreProperties>
</file>