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2975" w:right="0" w:firstLine="0"/>
        <w:jc w:val="left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Confidentiality Agreement</w:t>
      </w:r>
    </w:p>
    <w:p>
      <w:pPr>
        <w:pStyle w:val="BodyText"/>
        <w:spacing w:before="11"/>
        <w:rPr>
          <w:rFonts w:ascii="AvantGarde Bk BT"/>
          <w:b/>
          <w:sz w:val="22"/>
        </w:rPr>
      </w:pPr>
    </w:p>
    <w:p>
      <w:pPr>
        <w:pStyle w:val="BodyText"/>
        <w:spacing w:line="249" w:lineRule="auto" w:before="91"/>
        <w:ind w:left="268" w:right="150" w:firstLine="239"/>
        <w:jc w:val="both"/>
      </w:pPr>
      <w:r>
        <w:rPr>
          <w:color w:val="221F1F"/>
        </w:rPr>
        <w:t>As</w:t>
      </w:r>
      <w:r>
        <w:rPr>
          <w:color w:val="221F1F"/>
          <w:spacing w:val="-16"/>
        </w:rPr>
        <w:t> </w:t>
      </w:r>
      <w:r>
        <w:rPr>
          <w:color w:val="221F1F"/>
        </w:rPr>
        <w:t>an</w:t>
      </w:r>
      <w:r>
        <w:rPr>
          <w:color w:val="221F1F"/>
          <w:spacing w:val="-16"/>
        </w:rPr>
        <w:t> </w:t>
      </w:r>
      <w:r>
        <w:rPr>
          <w:color w:val="221F1F"/>
        </w:rPr>
        <w:t>employee</w:t>
      </w:r>
      <w:r>
        <w:rPr>
          <w:color w:val="221F1F"/>
          <w:spacing w:val="-15"/>
        </w:rPr>
        <w:t> </w:t>
      </w:r>
      <w:r>
        <w:rPr>
          <w:color w:val="221F1F"/>
        </w:rPr>
        <w:t>of</w:t>
      </w:r>
      <w:r>
        <w:rPr>
          <w:color w:val="221F1F"/>
          <w:spacing w:val="-17"/>
        </w:rPr>
        <w:t> </w:t>
      </w:r>
      <w:r>
        <w:rPr>
          <w:color w:val="221F1F"/>
        </w:rPr>
        <w:t>(Law</w:t>
      </w:r>
      <w:r>
        <w:rPr>
          <w:color w:val="221F1F"/>
          <w:spacing w:val="-17"/>
        </w:rPr>
        <w:t> </w:t>
      </w:r>
      <w:r>
        <w:rPr>
          <w:color w:val="221F1F"/>
        </w:rPr>
        <w:t>Firm),</w:t>
      </w:r>
      <w:r>
        <w:rPr>
          <w:color w:val="221F1F"/>
          <w:spacing w:val="-14"/>
        </w:rPr>
        <w:t> </w:t>
      </w:r>
      <w:r>
        <w:rPr>
          <w:color w:val="221F1F"/>
        </w:rPr>
        <w:t>I</w:t>
      </w:r>
      <w:r>
        <w:rPr>
          <w:color w:val="221F1F"/>
          <w:spacing w:val="-14"/>
        </w:rPr>
        <w:t> </w:t>
      </w:r>
      <w:r>
        <w:rPr>
          <w:color w:val="221F1F"/>
        </w:rPr>
        <w:t>acknowledge</w:t>
      </w:r>
      <w:r>
        <w:rPr>
          <w:color w:val="221F1F"/>
          <w:spacing w:val="-15"/>
        </w:rPr>
        <w:t> </w:t>
      </w:r>
      <w:r>
        <w:rPr>
          <w:color w:val="221F1F"/>
        </w:rPr>
        <w:t>that</w:t>
      </w:r>
      <w:r>
        <w:rPr>
          <w:color w:val="221F1F"/>
          <w:spacing w:val="-15"/>
        </w:rPr>
        <w:t> </w:t>
      </w:r>
      <w:r>
        <w:rPr>
          <w:color w:val="221F1F"/>
        </w:rPr>
        <w:t>I</w:t>
      </w:r>
      <w:r>
        <w:rPr>
          <w:color w:val="221F1F"/>
          <w:spacing w:val="-14"/>
        </w:rPr>
        <w:t> </w:t>
      </w:r>
      <w:r>
        <w:rPr>
          <w:color w:val="221F1F"/>
        </w:rPr>
        <w:t>have</w:t>
      </w:r>
      <w:r>
        <w:rPr>
          <w:color w:val="221F1F"/>
          <w:spacing w:val="-15"/>
        </w:rPr>
        <w:t> </w:t>
      </w:r>
      <w:r>
        <w:rPr>
          <w:color w:val="221F1F"/>
        </w:rPr>
        <w:t>been</w:t>
      </w:r>
      <w:r>
        <w:rPr>
          <w:color w:val="221F1F"/>
          <w:spacing w:val="-16"/>
        </w:rPr>
        <w:t> </w:t>
      </w:r>
      <w:r>
        <w:rPr>
          <w:color w:val="221F1F"/>
        </w:rPr>
        <w:t>instructed</w:t>
      </w:r>
      <w:r>
        <w:rPr>
          <w:color w:val="221F1F"/>
          <w:spacing w:val="-14"/>
        </w:rPr>
        <w:t> </w:t>
      </w:r>
      <w:r>
        <w:rPr>
          <w:color w:val="221F1F"/>
        </w:rPr>
        <w:t>regarding</w:t>
      </w:r>
      <w:r>
        <w:rPr>
          <w:color w:val="221F1F"/>
          <w:spacing w:val="-16"/>
        </w:rPr>
        <w:t> </w:t>
      </w:r>
      <w:r>
        <w:rPr>
          <w:color w:val="221F1F"/>
        </w:rPr>
        <w:t>the</w:t>
      </w:r>
      <w:r>
        <w:rPr>
          <w:color w:val="221F1F"/>
          <w:spacing w:val="-15"/>
        </w:rPr>
        <w:t> </w:t>
      </w:r>
      <w:r>
        <w:rPr>
          <w:color w:val="221F1F"/>
        </w:rPr>
        <w:t>confidentiality</w:t>
      </w:r>
      <w:r>
        <w:rPr>
          <w:color w:val="221F1F"/>
          <w:spacing w:val="-16"/>
        </w:rPr>
        <w:t> </w:t>
      </w:r>
      <w:r>
        <w:rPr>
          <w:color w:val="221F1F"/>
        </w:rPr>
        <w:t>of</w:t>
      </w:r>
      <w:r>
        <w:rPr>
          <w:color w:val="221F1F"/>
          <w:spacing w:val="-17"/>
        </w:rPr>
        <w:t> </w:t>
      </w:r>
      <w:r>
        <w:rPr>
          <w:color w:val="221F1F"/>
        </w:rPr>
        <w:t>all</w:t>
      </w:r>
      <w:r>
        <w:rPr>
          <w:color w:val="221F1F"/>
          <w:spacing w:val="-13"/>
        </w:rPr>
        <w:t> </w:t>
      </w:r>
      <w:r>
        <w:rPr>
          <w:color w:val="221F1F"/>
        </w:rPr>
        <w:t>firm</w:t>
      </w:r>
      <w:r>
        <w:rPr>
          <w:color w:val="221F1F"/>
          <w:spacing w:val="-16"/>
        </w:rPr>
        <w:t> </w:t>
      </w:r>
      <w:r>
        <w:rPr>
          <w:color w:val="221F1F"/>
        </w:rPr>
        <w:t>business, client</w:t>
      </w:r>
      <w:r>
        <w:rPr>
          <w:color w:val="221F1F"/>
          <w:spacing w:val="-15"/>
        </w:rPr>
        <w:t> </w:t>
      </w:r>
      <w:r>
        <w:rPr>
          <w:color w:val="221F1F"/>
        </w:rPr>
        <w:t>disclosures,</w:t>
      </w:r>
      <w:r>
        <w:rPr>
          <w:color w:val="221F1F"/>
          <w:spacing w:val="-14"/>
        </w:rPr>
        <w:t> </w:t>
      </w:r>
      <w:r>
        <w:rPr>
          <w:color w:val="221F1F"/>
        </w:rPr>
        <w:t>activity</w:t>
      </w:r>
      <w:r>
        <w:rPr>
          <w:color w:val="221F1F"/>
          <w:spacing w:val="-19"/>
        </w:rPr>
        <w:t> </w:t>
      </w:r>
      <w:r>
        <w:rPr>
          <w:color w:val="221F1F"/>
        </w:rPr>
        <w:t>and</w:t>
      </w:r>
      <w:r>
        <w:rPr>
          <w:color w:val="221F1F"/>
          <w:spacing w:val="-11"/>
        </w:rPr>
        <w:t> </w:t>
      </w:r>
      <w:r>
        <w:rPr>
          <w:color w:val="221F1F"/>
        </w:rPr>
        <w:t>records</w:t>
      </w:r>
      <w:r>
        <w:rPr>
          <w:color w:val="221F1F"/>
          <w:spacing w:val="-16"/>
        </w:rPr>
        <w:t> </w:t>
      </w:r>
      <w:r>
        <w:rPr>
          <w:color w:val="221F1F"/>
        </w:rPr>
        <w:t>and,</w:t>
      </w:r>
      <w:r>
        <w:rPr>
          <w:color w:val="221F1F"/>
          <w:spacing w:val="-14"/>
        </w:rPr>
        <w:t> </w:t>
      </w:r>
      <w:r>
        <w:rPr>
          <w:color w:val="221F1F"/>
        </w:rPr>
        <w:t>except</w:t>
      </w:r>
      <w:r>
        <w:rPr>
          <w:color w:val="221F1F"/>
          <w:spacing w:val="-15"/>
        </w:rPr>
        <w:t> </w:t>
      </w:r>
      <w:r>
        <w:rPr>
          <w:color w:val="221F1F"/>
        </w:rPr>
        <w:t>as</w:t>
      </w:r>
      <w:r>
        <w:rPr>
          <w:color w:val="221F1F"/>
          <w:spacing w:val="-16"/>
        </w:rPr>
        <w:t> </w:t>
      </w:r>
      <w:r>
        <w:rPr>
          <w:color w:val="221F1F"/>
        </w:rPr>
        <w:t>required</w:t>
      </w:r>
      <w:r>
        <w:rPr>
          <w:color w:val="221F1F"/>
          <w:spacing w:val="-14"/>
        </w:rPr>
        <w:t> </w:t>
      </w:r>
      <w:r>
        <w:rPr>
          <w:color w:val="221F1F"/>
        </w:rPr>
        <w:t>by</w:t>
      </w:r>
      <w:r>
        <w:rPr>
          <w:color w:val="221F1F"/>
          <w:spacing w:val="-16"/>
        </w:rPr>
        <w:t> </w:t>
      </w:r>
      <w:r>
        <w:rPr>
          <w:color w:val="221F1F"/>
        </w:rPr>
        <w:t>law</w:t>
      </w:r>
      <w:r>
        <w:rPr>
          <w:color w:val="221F1F"/>
          <w:spacing w:val="-17"/>
        </w:rPr>
        <w:t> </w:t>
      </w:r>
      <w:r>
        <w:rPr>
          <w:color w:val="221F1F"/>
        </w:rPr>
        <w:t>in</w:t>
      </w:r>
      <w:r>
        <w:rPr>
          <w:color w:val="221F1F"/>
          <w:spacing w:val="-16"/>
        </w:rPr>
        <w:t> </w:t>
      </w:r>
      <w:r>
        <w:rPr>
          <w:color w:val="221F1F"/>
        </w:rPr>
        <w:t>the</w:t>
      </w:r>
      <w:r>
        <w:rPr>
          <w:color w:val="221F1F"/>
          <w:spacing w:val="-15"/>
        </w:rPr>
        <w:t> </w:t>
      </w:r>
      <w:r>
        <w:rPr>
          <w:color w:val="221F1F"/>
        </w:rPr>
        <w:t>course</w:t>
      </w:r>
      <w:r>
        <w:rPr>
          <w:color w:val="221F1F"/>
          <w:spacing w:val="-14"/>
        </w:rPr>
        <w:t> </w:t>
      </w:r>
      <w:r>
        <w:rPr>
          <w:color w:val="221F1F"/>
        </w:rPr>
        <w:t>of</w:t>
      </w:r>
      <w:r>
        <w:rPr>
          <w:color w:val="221F1F"/>
          <w:spacing w:val="-14"/>
        </w:rPr>
        <w:t> </w:t>
      </w:r>
      <w:r>
        <w:rPr>
          <w:color w:val="221F1F"/>
        </w:rPr>
        <w:t>my</w:t>
      </w:r>
      <w:r>
        <w:rPr>
          <w:color w:val="221F1F"/>
          <w:spacing w:val="-16"/>
        </w:rPr>
        <w:t> </w:t>
      </w:r>
      <w:r>
        <w:rPr>
          <w:color w:val="221F1F"/>
        </w:rPr>
        <w:t>duties,</w:t>
      </w:r>
      <w:r>
        <w:rPr>
          <w:color w:val="221F1F"/>
          <w:spacing w:val="-14"/>
        </w:rPr>
        <w:t> </w:t>
      </w:r>
      <w:r>
        <w:rPr>
          <w:color w:val="221F1F"/>
        </w:rPr>
        <w:t>or</w:t>
      </w:r>
      <w:r>
        <w:rPr>
          <w:color w:val="221F1F"/>
          <w:spacing w:val="-12"/>
        </w:rPr>
        <w:t> </w:t>
      </w:r>
      <w:r>
        <w:rPr>
          <w:color w:val="221F1F"/>
        </w:rPr>
        <w:t>where</w:t>
      </w:r>
      <w:r>
        <w:rPr>
          <w:color w:val="221F1F"/>
          <w:spacing w:val="-15"/>
        </w:rPr>
        <w:t> </w:t>
      </w:r>
      <w:r>
        <w:rPr>
          <w:color w:val="221F1F"/>
        </w:rPr>
        <w:t>instructed</w:t>
      </w:r>
      <w:r>
        <w:rPr>
          <w:color w:val="221F1F"/>
          <w:spacing w:val="-14"/>
        </w:rPr>
        <w:t> </w:t>
      </w:r>
      <w:r>
        <w:rPr>
          <w:color w:val="221F1F"/>
        </w:rPr>
        <w:t>in</w:t>
      </w:r>
      <w:r>
        <w:rPr>
          <w:color w:val="221F1F"/>
          <w:spacing w:val="-14"/>
        </w:rPr>
        <w:t> </w:t>
      </w:r>
      <w:r>
        <w:rPr>
          <w:color w:val="221F1F"/>
        </w:rPr>
        <w:t>writing by my supervisor, I am aware that all client disclosures, firm books, records, files and memoranda are to be treated in strict confidence.</w:t>
      </w:r>
      <w:r>
        <w:rPr>
          <w:color w:val="221F1F"/>
          <w:spacing w:val="-16"/>
        </w:rPr>
        <w:t> </w:t>
      </w:r>
      <w:r>
        <w:rPr>
          <w:color w:val="221F1F"/>
        </w:rPr>
        <w:t>I</w:t>
      </w:r>
      <w:r>
        <w:rPr>
          <w:color w:val="221F1F"/>
          <w:spacing w:val="-17"/>
        </w:rPr>
        <w:t> </w:t>
      </w:r>
      <w:r>
        <w:rPr>
          <w:color w:val="221F1F"/>
        </w:rPr>
        <w:t>pledge</w:t>
      </w:r>
      <w:r>
        <w:rPr>
          <w:color w:val="221F1F"/>
          <w:spacing w:val="-16"/>
        </w:rPr>
        <w:t> </w:t>
      </w:r>
      <w:r>
        <w:rPr>
          <w:color w:val="221F1F"/>
        </w:rPr>
        <w:t>that</w:t>
      </w:r>
      <w:r>
        <w:rPr>
          <w:color w:val="221F1F"/>
          <w:spacing w:val="-18"/>
        </w:rPr>
        <w:t> </w:t>
      </w:r>
      <w:r>
        <w:rPr>
          <w:color w:val="221F1F"/>
        </w:rPr>
        <w:t>I</w:t>
      </w:r>
      <w:r>
        <w:rPr>
          <w:color w:val="221F1F"/>
          <w:spacing w:val="-16"/>
        </w:rPr>
        <w:t> </w:t>
      </w:r>
      <w:r>
        <w:rPr>
          <w:color w:val="221F1F"/>
        </w:rPr>
        <w:t>will</w:t>
      </w:r>
      <w:r>
        <w:rPr>
          <w:color w:val="221F1F"/>
          <w:spacing w:val="-17"/>
        </w:rPr>
        <w:t> </w:t>
      </w:r>
      <w:r>
        <w:rPr>
          <w:color w:val="221F1F"/>
        </w:rPr>
        <w:t>not</w:t>
      </w:r>
      <w:r>
        <w:rPr>
          <w:color w:val="221F1F"/>
          <w:spacing w:val="-17"/>
        </w:rPr>
        <w:t> </w:t>
      </w:r>
      <w:r>
        <w:rPr>
          <w:color w:val="221F1F"/>
        </w:rPr>
        <w:t>disclose</w:t>
      </w:r>
      <w:r>
        <w:rPr>
          <w:color w:val="221F1F"/>
          <w:spacing w:val="-18"/>
        </w:rPr>
        <w:t> </w:t>
      </w:r>
      <w:r>
        <w:rPr>
          <w:color w:val="221F1F"/>
        </w:rPr>
        <w:t>information</w:t>
      </w:r>
      <w:r>
        <w:rPr>
          <w:color w:val="221F1F"/>
          <w:spacing w:val="-17"/>
        </w:rPr>
        <w:t> </w:t>
      </w:r>
      <w:r>
        <w:rPr>
          <w:color w:val="221F1F"/>
        </w:rPr>
        <w:t>relating</w:t>
      </w:r>
      <w:r>
        <w:rPr>
          <w:color w:val="221F1F"/>
          <w:spacing w:val="-17"/>
        </w:rPr>
        <w:t> </w:t>
      </w:r>
      <w:r>
        <w:rPr>
          <w:color w:val="221F1F"/>
        </w:rPr>
        <w:t>to</w:t>
      </w:r>
      <w:r>
        <w:rPr>
          <w:color w:val="221F1F"/>
          <w:spacing w:val="-15"/>
        </w:rPr>
        <w:t> </w:t>
      </w:r>
      <w:r>
        <w:rPr>
          <w:color w:val="221F1F"/>
        </w:rPr>
        <w:t>the</w:t>
      </w:r>
      <w:r>
        <w:rPr>
          <w:color w:val="221F1F"/>
          <w:spacing w:val="-16"/>
        </w:rPr>
        <w:t> </w:t>
      </w:r>
      <w:r>
        <w:rPr>
          <w:color w:val="221F1F"/>
        </w:rPr>
        <w:t>firm,</w:t>
      </w:r>
      <w:r>
        <w:rPr>
          <w:color w:val="221F1F"/>
          <w:spacing w:val="-16"/>
        </w:rPr>
        <w:t> </w:t>
      </w:r>
      <w:r>
        <w:rPr>
          <w:color w:val="221F1F"/>
        </w:rPr>
        <w:t>its</w:t>
      </w:r>
      <w:r>
        <w:rPr>
          <w:color w:val="221F1F"/>
          <w:spacing w:val="-19"/>
        </w:rPr>
        <w:t> </w:t>
      </w:r>
      <w:r>
        <w:rPr>
          <w:color w:val="221F1F"/>
        </w:rPr>
        <w:t>business</w:t>
      </w:r>
      <w:r>
        <w:rPr>
          <w:color w:val="221F1F"/>
          <w:spacing w:val="-17"/>
        </w:rPr>
        <w:t> </w:t>
      </w:r>
      <w:r>
        <w:rPr>
          <w:color w:val="221F1F"/>
        </w:rPr>
        <w:t>or</w:t>
      </w:r>
      <w:r>
        <w:rPr>
          <w:color w:val="221F1F"/>
          <w:spacing w:val="-16"/>
        </w:rPr>
        <w:t> </w:t>
      </w:r>
      <w:r>
        <w:rPr>
          <w:color w:val="221F1F"/>
        </w:rPr>
        <w:t>its</w:t>
      </w:r>
      <w:r>
        <w:rPr>
          <w:color w:val="221F1F"/>
          <w:spacing w:val="-19"/>
        </w:rPr>
        <w:t> </w:t>
      </w:r>
      <w:r>
        <w:rPr>
          <w:color w:val="221F1F"/>
        </w:rPr>
        <w:t>clients</w:t>
      </w:r>
      <w:r>
        <w:rPr>
          <w:color w:val="221F1F"/>
          <w:spacing w:val="-19"/>
        </w:rPr>
        <w:t> </w:t>
      </w:r>
      <w:r>
        <w:rPr>
          <w:color w:val="221F1F"/>
        </w:rPr>
        <w:t>during</w:t>
      </w:r>
      <w:r>
        <w:rPr>
          <w:color w:val="221F1F"/>
          <w:spacing w:val="-17"/>
        </w:rPr>
        <w:t> </w:t>
      </w:r>
      <w:r>
        <w:rPr>
          <w:color w:val="221F1F"/>
        </w:rPr>
        <w:t>my</w:t>
      </w:r>
      <w:r>
        <w:rPr>
          <w:color w:val="221F1F"/>
          <w:spacing w:val="-17"/>
        </w:rPr>
        <w:t> </w:t>
      </w:r>
      <w:r>
        <w:rPr>
          <w:color w:val="221F1F"/>
        </w:rPr>
        <w:t>employment</w:t>
      </w:r>
      <w:r>
        <w:rPr>
          <w:color w:val="221F1F"/>
          <w:spacing w:val="-17"/>
        </w:rPr>
        <w:t> </w:t>
      </w:r>
      <w:r>
        <w:rPr>
          <w:color w:val="221F1F"/>
        </w:rPr>
        <w:t>or after</w:t>
      </w:r>
      <w:r>
        <w:rPr>
          <w:color w:val="221F1F"/>
          <w:spacing w:val="-16"/>
        </w:rPr>
        <w:t> </w:t>
      </w:r>
      <w:r>
        <w:rPr>
          <w:color w:val="221F1F"/>
        </w:rPr>
        <w:t>termination</w:t>
      </w:r>
      <w:r>
        <w:rPr>
          <w:color w:val="221F1F"/>
          <w:spacing w:val="-15"/>
        </w:rPr>
        <w:t> </w:t>
      </w:r>
      <w:r>
        <w:rPr>
          <w:color w:val="221F1F"/>
        </w:rPr>
        <w:t>thereof,</w:t>
      </w:r>
      <w:r>
        <w:rPr>
          <w:color w:val="221F1F"/>
          <w:spacing w:val="-14"/>
        </w:rPr>
        <w:t> </w:t>
      </w:r>
      <w:r>
        <w:rPr>
          <w:color w:val="221F1F"/>
        </w:rPr>
        <w:t>whether</w:t>
      </w:r>
      <w:r>
        <w:rPr>
          <w:color w:val="221F1F"/>
          <w:spacing w:val="-14"/>
        </w:rPr>
        <w:t> </w:t>
      </w:r>
      <w:r>
        <w:rPr>
          <w:color w:val="221F1F"/>
        </w:rPr>
        <w:t>such</w:t>
      </w:r>
      <w:r>
        <w:rPr>
          <w:color w:val="221F1F"/>
          <w:spacing w:val="-15"/>
        </w:rPr>
        <w:t> </w:t>
      </w:r>
      <w:r>
        <w:rPr>
          <w:color w:val="221F1F"/>
        </w:rPr>
        <w:t>termination</w:t>
      </w:r>
      <w:r>
        <w:rPr>
          <w:color w:val="221F1F"/>
          <w:spacing w:val="-18"/>
        </w:rPr>
        <w:t> </w:t>
      </w:r>
      <w:r>
        <w:rPr>
          <w:color w:val="221F1F"/>
        </w:rPr>
        <w:t>be</w:t>
      </w:r>
      <w:r>
        <w:rPr>
          <w:color w:val="221F1F"/>
          <w:spacing w:val="-14"/>
        </w:rPr>
        <w:t> </w:t>
      </w:r>
      <w:r>
        <w:rPr>
          <w:color w:val="221F1F"/>
        </w:rPr>
        <w:t>voluntary</w:t>
      </w:r>
      <w:r>
        <w:rPr>
          <w:color w:val="221F1F"/>
          <w:spacing w:val="-18"/>
        </w:rPr>
        <w:t> </w:t>
      </w:r>
      <w:r>
        <w:rPr>
          <w:color w:val="221F1F"/>
        </w:rPr>
        <w:t>or</w:t>
      </w:r>
      <w:r>
        <w:rPr>
          <w:color w:val="221F1F"/>
          <w:spacing w:val="-16"/>
        </w:rPr>
        <w:t> </w:t>
      </w:r>
      <w:r>
        <w:rPr>
          <w:color w:val="221F1F"/>
          <w:spacing w:val="-3"/>
        </w:rPr>
        <w:t>involuntary.</w:t>
      </w:r>
      <w:r>
        <w:rPr>
          <w:color w:val="221F1F"/>
          <w:spacing w:val="-14"/>
        </w:rPr>
        <w:t> </w:t>
      </w:r>
      <w:r>
        <w:rPr>
          <w:color w:val="221F1F"/>
        </w:rPr>
        <w:t>I</w:t>
      </w:r>
      <w:r>
        <w:rPr>
          <w:color w:val="221F1F"/>
          <w:spacing w:val="-14"/>
        </w:rPr>
        <w:t> </w:t>
      </w:r>
      <w:r>
        <w:rPr>
          <w:color w:val="221F1F"/>
        </w:rPr>
        <w:t>understand</w:t>
      </w:r>
      <w:r>
        <w:rPr>
          <w:color w:val="221F1F"/>
          <w:spacing w:val="-14"/>
        </w:rPr>
        <w:t> </w:t>
      </w:r>
      <w:r>
        <w:rPr>
          <w:color w:val="221F1F"/>
        </w:rPr>
        <w:t>that</w:t>
      </w:r>
      <w:r>
        <w:rPr>
          <w:color w:val="221F1F"/>
          <w:spacing w:val="-17"/>
        </w:rPr>
        <w:t> </w:t>
      </w:r>
      <w:r>
        <w:rPr>
          <w:color w:val="221F1F"/>
        </w:rPr>
        <w:t>any</w:t>
      </w:r>
      <w:r>
        <w:rPr>
          <w:color w:val="221F1F"/>
          <w:spacing w:val="-18"/>
        </w:rPr>
        <w:t> </w:t>
      </w:r>
      <w:r>
        <w:rPr>
          <w:color w:val="221F1F"/>
        </w:rPr>
        <w:t>breach</w:t>
      </w:r>
      <w:r>
        <w:rPr>
          <w:color w:val="221F1F"/>
          <w:spacing w:val="-18"/>
        </w:rPr>
        <w:t> </w:t>
      </w:r>
      <w:r>
        <w:rPr>
          <w:color w:val="221F1F"/>
        </w:rPr>
        <w:t>of</w:t>
      </w:r>
      <w:r>
        <w:rPr>
          <w:color w:val="221F1F"/>
          <w:spacing w:val="-16"/>
        </w:rPr>
        <w:t> </w:t>
      </w:r>
      <w:r>
        <w:rPr>
          <w:color w:val="221F1F"/>
        </w:rPr>
        <w:t>confidentiality will</w:t>
      </w:r>
      <w:r>
        <w:rPr>
          <w:color w:val="221F1F"/>
          <w:spacing w:val="-21"/>
        </w:rPr>
        <w:t> </w:t>
      </w:r>
      <w:r>
        <w:rPr>
          <w:color w:val="221F1F"/>
        </w:rPr>
        <w:t>be</w:t>
      </w:r>
      <w:r>
        <w:rPr>
          <w:color w:val="221F1F"/>
          <w:spacing w:val="-20"/>
        </w:rPr>
        <w:t> </w:t>
      </w:r>
      <w:r>
        <w:rPr>
          <w:color w:val="221F1F"/>
        </w:rPr>
        <w:t>grounds</w:t>
      </w:r>
      <w:r>
        <w:rPr>
          <w:color w:val="221F1F"/>
          <w:spacing w:val="-21"/>
        </w:rPr>
        <w:t> </w:t>
      </w:r>
      <w:r>
        <w:rPr>
          <w:color w:val="221F1F"/>
        </w:rPr>
        <w:t>for</w:t>
      </w:r>
      <w:r>
        <w:rPr>
          <w:color w:val="221F1F"/>
          <w:spacing w:val="-20"/>
        </w:rPr>
        <w:t> </w:t>
      </w:r>
      <w:r>
        <w:rPr>
          <w:color w:val="221F1F"/>
        </w:rPr>
        <w:t>my</w:t>
      </w:r>
      <w:r>
        <w:rPr>
          <w:color w:val="221F1F"/>
          <w:spacing w:val="-23"/>
        </w:rPr>
        <w:t> </w:t>
      </w:r>
      <w:r>
        <w:rPr>
          <w:color w:val="221F1F"/>
        </w:rPr>
        <w:t>immediate</w:t>
      </w:r>
      <w:r>
        <w:rPr>
          <w:color w:val="221F1F"/>
          <w:spacing w:val="-20"/>
        </w:rPr>
        <w:t> </w:t>
      </w:r>
      <w:r>
        <w:rPr>
          <w:color w:val="221F1F"/>
        </w:rPr>
        <w:t>dismissal</w:t>
      </w:r>
      <w:r>
        <w:rPr>
          <w:color w:val="221F1F"/>
          <w:spacing w:val="-21"/>
        </w:rPr>
        <w:t> </w:t>
      </w:r>
      <w:r>
        <w:rPr>
          <w:color w:val="221F1F"/>
        </w:rPr>
        <w:t>as</w:t>
      </w:r>
      <w:r>
        <w:rPr>
          <w:color w:val="221F1F"/>
          <w:spacing w:val="-21"/>
        </w:rPr>
        <w:t> </w:t>
      </w:r>
      <w:r>
        <w:rPr>
          <w:color w:val="221F1F"/>
        </w:rPr>
        <w:t>a</w:t>
      </w:r>
      <w:r>
        <w:rPr>
          <w:color w:val="221F1F"/>
          <w:spacing w:val="-20"/>
        </w:rPr>
        <w:t> </w:t>
      </w:r>
      <w:r>
        <w:rPr>
          <w:color w:val="221F1F"/>
        </w:rPr>
        <w:t>firm</w:t>
      </w:r>
      <w:r>
        <w:rPr>
          <w:color w:val="221F1F"/>
          <w:spacing w:val="-23"/>
        </w:rPr>
        <w:t> </w:t>
      </w:r>
      <w:r>
        <w:rPr>
          <w:color w:val="221F1F"/>
        </w:rPr>
        <w:t>employee.</w:t>
      </w:r>
    </w:p>
    <w:p>
      <w:pPr>
        <w:pStyle w:val="BodyText"/>
        <w:spacing w:before="10"/>
      </w:pPr>
    </w:p>
    <w:p>
      <w:pPr>
        <w:pStyle w:val="BodyText"/>
        <w:tabs>
          <w:tab w:pos="1386" w:val="left" w:leader="none"/>
          <w:tab w:pos="3726" w:val="left" w:leader="none"/>
        </w:tabs>
        <w:ind w:left="268"/>
      </w:pPr>
      <w:r>
        <w:rPr>
          <w:color w:val="221F1F"/>
        </w:rPr>
        <w:t>This</w:t>
      </w:r>
      <w:r>
        <w:rPr>
          <w:color w:val="221F1F"/>
          <w:spacing w:val="9"/>
        </w:rPr>
        <w:t> </w:t>
      </w:r>
      <w:r>
        <w:rPr>
          <w:color w:val="221F1F"/>
        </w:rPr>
        <w:t>the</w:t>
      </w:r>
      <w:r>
        <w:rPr>
          <w:color w:val="221F1F"/>
          <w:u w:val="single" w:color="211E1F"/>
        </w:rPr>
        <w:t> </w:t>
        <w:tab/>
      </w:r>
      <w:r>
        <w:rPr>
          <w:color w:val="221F1F"/>
        </w:rPr>
        <w:t>day</w:t>
      </w:r>
      <w:r>
        <w:rPr>
          <w:color w:val="221F1F"/>
          <w:spacing w:val="11"/>
        </w:rPr>
        <w:t> </w:t>
      </w:r>
      <w:r>
        <w:rPr>
          <w:color w:val="221F1F"/>
        </w:rPr>
        <w:t>of</w:t>
      </w:r>
      <w:r>
        <w:rPr>
          <w:color w:val="221F1F"/>
          <w:u w:val="single" w:color="211E1F"/>
        </w:rPr>
        <w:t> </w:t>
        <w:tab/>
      </w:r>
      <w:r>
        <w:rPr>
          <w:color w:val="221F1F"/>
        </w:rPr>
        <w:t>, 20   </w:t>
      </w:r>
      <w:r>
        <w:rPr>
          <w:color w:val="221F1F"/>
          <w:spacing w:val="13"/>
        </w:rPr>
        <w:t> </w:t>
      </w:r>
      <w:r>
        <w:rPr>
          <w:color w:val="221F1F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  <w:r>
        <w:rPr/>
        <w:pict>
          <v:line style="position:absolute;mso-position-horizontal-relative:page;mso-position-vertical-relative:paragraph;z-index:0;mso-wrap-distance-left:0;mso-wrap-distance-right:0" from="60.412201pt,11.695166pt" to="314.462201pt,11.695166pt" stroked="true" strokeweight=".48pt" strokecolor="#221f1f">
            <v:stroke dashstyle="solid"/>
            <w10:wrap type="topAndBottom"/>
          </v:line>
        </w:pict>
      </w:r>
    </w:p>
    <w:p>
      <w:pPr>
        <w:pStyle w:val="BodyText"/>
        <w:spacing w:before="1"/>
        <w:ind w:left="268"/>
      </w:pPr>
      <w:r>
        <w:rPr>
          <w:color w:val="221F1F"/>
        </w:rPr>
        <w:t>Signature</w:t>
      </w:r>
    </w:p>
    <w:p>
      <w:pPr>
        <w:pStyle w:val="BodyText"/>
      </w:pPr>
    </w:p>
    <w:p>
      <w:pPr>
        <w:pStyle w:val="BodyText"/>
        <w:spacing w:before="5"/>
        <w:rPr>
          <w:sz w:val="16"/>
        </w:rPr>
      </w:pPr>
      <w:r>
        <w:rPr/>
        <w:pict>
          <v:line style="position:absolute;mso-position-horizontal-relative:page;mso-position-vertical-relative:paragraph;z-index:1048;mso-wrap-distance-left:0;mso-wrap-distance-right:0" from="60.412201pt,11.662475pt" to="314.462201pt,11.662475pt" stroked="true" strokeweight=".48pt" strokecolor="#221f1f">
            <v:stroke dashstyle="solid"/>
            <w10:wrap type="topAndBottom"/>
          </v:line>
        </w:pict>
      </w:r>
    </w:p>
    <w:p>
      <w:pPr>
        <w:pStyle w:val="BodyText"/>
        <w:ind w:left="268"/>
      </w:pPr>
      <w:r>
        <w:rPr>
          <w:color w:val="221F1F"/>
        </w:rPr>
        <w:t>Witness</w:t>
      </w:r>
    </w:p>
    <w:p>
      <w:pPr>
        <w:pStyle w:val="BodyText"/>
      </w:pPr>
    </w:p>
    <w:p>
      <w:pPr>
        <w:pStyle w:val="BodyText"/>
        <w:spacing w:before="2"/>
        <w:rPr>
          <w:sz w:val="18"/>
        </w:rPr>
      </w:pPr>
      <w:r>
        <w:rPr/>
        <w:pict>
          <v:line style="position:absolute;mso-position-horizontal-relative:page;mso-position-vertical-relative:paragraph;z-index:1072;mso-wrap-distance-left:0;mso-wrap-distance-right:0" from="60.412201pt,12.67788pt" to="314.462201pt,12.67788pt" stroked="true" strokeweight=".48pt" strokecolor="#221f1f">
            <v:stroke dashstyle="solid"/>
            <w10:wrap type="topAndBottom"/>
          </v:line>
        </w:pict>
      </w:r>
    </w:p>
    <w:p>
      <w:pPr>
        <w:pStyle w:val="BodyText"/>
        <w:ind w:left="268"/>
      </w:pPr>
      <w:r>
        <w:rPr>
          <w:color w:val="221F1F"/>
        </w:rPr>
        <w:t>Attorney’s Signature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280" w:bottom="280" w:left="940" w:right="980"/>
        </w:sectPr>
      </w:pPr>
    </w:p>
    <w:p>
      <w:pPr>
        <w:spacing w:before="17"/>
        <w:ind w:left="140" w:right="0" w:firstLine="0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PRACTICE AID GUIDE: </w:t>
      </w:r>
      <w:r>
        <w:rPr>
          <w:rFonts w:ascii="ITC Avant Garde Gothic"/>
          <w:color w:val="939598"/>
          <w:w w:val="85"/>
          <w:sz w:val="14"/>
        </w:rPr>
        <w:t>The Essentials of Law Office Management</w:t>
      </w:r>
    </w:p>
    <w:p>
      <w:pPr>
        <w:spacing w:before="38"/>
        <w:ind w:left="115" w:right="0" w:firstLine="0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CHAPTER 4 </w:t>
      </w:r>
      <w:r>
        <w:rPr>
          <w:rFonts w:ascii="ITC Avant Garde Gothic"/>
          <w:color w:val="939598"/>
          <w:w w:val="85"/>
          <w:sz w:val="14"/>
        </w:rPr>
        <w:t>Maintaining the Attorney-Client Relationship and Law Office  Procedure</w:t>
      </w:r>
    </w:p>
    <w:p>
      <w:pPr>
        <w:pStyle w:val="BodyText"/>
        <w:spacing w:before="5"/>
        <w:rPr>
          <w:rFonts w:ascii="ITC Avant Garde Gothic"/>
          <w:sz w:val="11"/>
        </w:rPr>
      </w:pPr>
      <w:r>
        <w:rPr/>
        <w:br w:type="column"/>
      </w:r>
      <w:r>
        <w:rPr>
          <w:rFonts w:ascii="ITC Avant Garde Gothic"/>
          <w:sz w:val="11"/>
        </w:rPr>
      </w:r>
    </w:p>
    <w:p>
      <w:pPr>
        <w:spacing w:before="0"/>
        <w:ind w:left="115" w:right="0" w:firstLine="0"/>
        <w:jc w:val="left"/>
        <w:rPr>
          <w:rFonts w:ascii="Helvetica"/>
          <w:sz w:val="11"/>
        </w:rPr>
      </w:pPr>
      <w:r>
        <w:rPr>
          <w:rFonts w:ascii="Helvetica"/>
          <w:color w:val="636466"/>
          <w:sz w:val="11"/>
        </w:rPr>
        <w:t>Page 87</w:t>
      </w:r>
    </w:p>
    <w:p>
      <w:pPr>
        <w:spacing w:after="0"/>
        <w:jc w:val="left"/>
        <w:rPr>
          <w:rFonts w:ascii="Helvetica"/>
          <w:sz w:val="11"/>
        </w:rPr>
        <w:sectPr>
          <w:type w:val="continuous"/>
          <w:pgSz w:w="12240" w:h="15840"/>
          <w:pgMar w:top="1280" w:bottom="280" w:left="940" w:right="980"/>
          <w:cols w:num="2" w:equalWidth="0">
            <w:col w:w="4904" w:space="4754"/>
            <w:col w:w="662"/>
          </w:cols>
        </w:sectPr>
      </w:pPr>
    </w:p>
    <w:p>
      <w:pPr>
        <w:pStyle w:val="BodyText"/>
        <w:spacing w:line="20" w:lineRule="exact"/>
        <w:ind w:left="113"/>
        <w:rPr>
          <w:rFonts w:ascii="Helvetica"/>
          <w:sz w:val="2"/>
        </w:rPr>
      </w:pPr>
      <w:r>
        <w:rPr>
          <w:rFonts w:ascii="Helvetica"/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rFonts w:ascii="Helvetica"/>
          <w:sz w:val="2"/>
        </w:rPr>
      </w:r>
    </w:p>
    <w:sectPr>
      <w:type w:val="continuous"/>
      <w:pgSz w:w="12240" w:h="15840"/>
      <w:pgMar w:top="1280" w:bottom="280" w:left="9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TC Avant Garde Gothic">
    <w:altName w:val="ITC Avant Garde Gothic"/>
    <w:charset w:val="0"/>
    <w:family w:val="swiss"/>
    <w:pitch w:val="variable"/>
  </w:font>
  <w:font w:name="ITC Avant Garde Gothic Demi">
    <w:altName w:val="ITC Avant Garde Gothic Demi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2017-04-05T12:12:52Z</dcterms:created>
  <dcterms:modified xsi:type="dcterms:W3CDTF">2017-04-05T12:12:52Z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