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84"/>
        <w:ind w:left="3366" w:right="2690" w:hanging="668"/>
        <w:jc w:val="left"/>
        <w:rPr>
          <w:rFonts w:ascii="AvantGarde Bk BT"/>
          <w:b/>
          <w:sz w:val="36"/>
        </w:rPr>
      </w:pPr>
      <w:r>
        <w:rPr>
          <w:rFonts w:ascii="AvantGarde Bk BT"/>
          <w:b/>
          <w:color w:val="231F20"/>
          <w:spacing w:val="-8"/>
          <w:sz w:val="36"/>
        </w:rPr>
        <w:t>Louisiana </w:t>
      </w:r>
      <w:r>
        <w:rPr>
          <w:rFonts w:ascii="AvantGarde Bk BT"/>
          <w:b/>
          <w:color w:val="231F20"/>
          <w:spacing w:val="-7"/>
          <w:sz w:val="36"/>
        </w:rPr>
        <w:t>State </w:t>
      </w:r>
      <w:r>
        <w:rPr>
          <w:rFonts w:ascii="AvantGarde Bk BT"/>
          <w:b/>
          <w:color w:val="231F20"/>
          <w:spacing w:val="-6"/>
          <w:sz w:val="36"/>
        </w:rPr>
        <w:t>Bar </w:t>
      </w:r>
      <w:r>
        <w:rPr>
          <w:rFonts w:ascii="AvantGarde Bk BT"/>
          <w:b/>
          <w:color w:val="231F20"/>
          <w:spacing w:val="-8"/>
          <w:sz w:val="36"/>
        </w:rPr>
        <w:t>Association </w:t>
      </w:r>
      <w:r>
        <w:rPr>
          <w:rFonts w:ascii="AvantGarde Bk BT"/>
          <w:b/>
          <w:color w:val="231F20"/>
          <w:spacing w:val="-7"/>
          <w:sz w:val="36"/>
        </w:rPr>
        <w:t>Ethics </w:t>
      </w:r>
      <w:r>
        <w:rPr>
          <w:rFonts w:ascii="AvantGarde Bk BT"/>
          <w:b/>
          <w:color w:val="231F20"/>
          <w:spacing w:val="-6"/>
          <w:sz w:val="36"/>
        </w:rPr>
        <w:t>Advisory </w:t>
      </w:r>
      <w:r>
        <w:rPr>
          <w:rFonts w:ascii="AvantGarde Bk BT"/>
          <w:b/>
          <w:color w:val="231F20"/>
          <w:spacing w:val="-7"/>
          <w:sz w:val="36"/>
        </w:rPr>
        <w:t>Service</w:t>
      </w:r>
    </w:p>
    <w:p>
      <w:pPr>
        <w:pStyle w:val="BodyText"/>
        <w:spacing w:before="184"/>
        <w:ind w:left="120" w:right="118"/>
        <w:jc w:val="both"/>
      </w:pPr>
      <w:r>
        <w:rPr>
          <w:color w:val="231F20"/>
        </w:rPr>
        <w:t>The Ethics Advisory Service provides confidential, informal, non-binding advice and opinions on matters of legal ethics to all eligible LSBA members (i.e., whose law license is active and in good standing with the LSBA). The service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provided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Ethics</w:t>
      </w:r>
      <w:r>
        <w:rPr>
          <w:color w:val="231F20"/>
          <w:spacing w:val="-5"/>
        </w:rPr>
        <w:t> </w:t>
      </w:r>
      <w:r>
        <w:rPr>
          <w:color w:val="231F20"/>
        </w:rPr>
        <w:t>Advisory</w:t>
      </w:r>
      <w:r>
        <w:rPr>
          <w:color w:val="231F20"/>
          <w:spacing w:val="-5"/>
        </w:rPr>
        <w:t> </w:t>
      </w:r>
      <w:r>
        <w:rPr>
          <w:color w:val="231F20"/>
        </w:rPr>
        <w:t>Service</w:t>
      </w:r>
      <w:r>
        <w:rPr>
          <w:color w:val="231F20"/>
          <w:spacing w:val="-5"/>
        </w:rPr>
        <w:t> </w:t>
      </w:r>
      <w:r>
        <w:rPr>
          <w:color w:val="231F20"/>
        </w:rPr>
        <w:t>Subcommittee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Professional</w:t>
      </w:r>
      <w:r>
        <w:rPr>
          <w:color w:val="231F20"/>
          <w:spacing w:val="-5"/>
        </w:rPr>
        <w:t> </w:t>
      </w:r>
      <w:r>
        <w:rPr>
          <w:color w:val="231F20"/>
        </w:rPr>
        <w:t>Conduct</w:t>
      </w:r>
      <w:r>
        <w:rPr>
          <w:color w:val="231F20"/>
          <w:spacing w:val="-4"/>
        </w:rPr>
        <w:t> </w:t>
      </w:r>
      <w:r>
        <w:rPr>
          <w:color w:val="231F20"/>
        </w:rPr>
        <w:t>Committee, with the assistance of the LSBA’s Ethics Counsel. The Subcommittee consists of experienced volunteer members of the</w:t>
      </w:r>
      <w:r>
        <w:rPr>
          <w:color w:val="231F20"/>
          <w:spacing w:val="-7"/>
        </w:rPr>
        <w:t> </w:t>
      </w:r>
      <w:r>
        <w:rPr>
          <w:color w:val="231F20"/>
        </w:rPr>
        <w:t>LSBA.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20" w:right="118"/>
        <w:jc w:val="both"/>
      </w:pPr>
      <w:r>
        <w:rPr>
          <w:color w:val="231F20"/>
        </w:rPr>
        <w:t>Lawyers</w:t>
      </w:r>
      <w:r>
        <w:rPr>
          <w:color w:val="231F20"/>
          <w:spacing w:val="-10"/>
        </w:rPr>
        <w:t> </w:t>
      </w:r>
      <w:r>
        <w:rPr>
          <w:color w:val="231F20"/>
        </w:rPr>
        <w:t>seeking</w:t>
      </w:r>
      <w:r>
        <w:rPr>
          <w:color w:val="231F20"/>
          <w:spacing w:val="-10"/>
        </w:rPr>
        <w:t> </w:t>
      </w:r>
      <w:r>
        <w:rPr>
          <w:color w:val="231F20"/>
        </w:rPr>
        <w:t>advice</w:t>
      </w:r>
      <w:r>
        <w:rPr>
          <w:color w:val="231F20"/>
          <w:spacing w:val="-10"/>
        </w:rPr>
        <w:t> </w:t>
      </w:r>
      <w:r>
        <w:rPr>
          <w:color w:val="231F20"/>
        </w:rPr>
        <w:t>or</w:t>
      </w:r>
      <w:r>
        <w:rPr>
          <w:color w:val="231F20"/>
          <w:spacing w:val="-10"/>
        </w:rPr>
        <w:t> </w:t>
      </w:r>
      <w:r>
        <w:rPr>
          <w:color w:val="231F20"/>
        </w:rPr>
        <w:t>written</w:t>
      </w:r>
      <w:r>
        <w:rPr>
          <w:color w:val="231F20"/>
          <w:spacing w:val="-10"/>
        </w:rPr>
        <w:t> </w:t>
      </w:r>
      <w:r>
        <w:rPr>
          <w:color w:val="231F20"/>
        </w:rPr>
        <w:t>opinions</w:t>
      </w:r>
      <w:r>
        <w:rPr>
          <w:color w:val="231F20"/>
          <w:spacing w:val="-10"/>
        </w:rPr>
        <w:t> </w:t>
      </w:r>
      <w:r>
        <w:rPr>
          <w:color w:val="231F20"/>
        </w:rPr>
        <w:t>on</w:t>
      </w:r>
      <w:r>
        <w:rPr>
          <w:color w:val="231F20"/>
          <w:spacing w:val="-10"/>
        </w:rPr>
        <w:t> </w:t>
      </w:r>
      <w:r>
        <w:rPr>
          <w:color w:val="231F20"/>
        </w:rPr>
        <w:t>matters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legal</w:t>
      </w:r>
      <w:r>
        <w:rPr>
          <w:color w:val="231F20"/>
          <w:spacing w:val="-10"/>
        </w:rPr>
        <w:t> </w:t>
      </w:r>
      <w:r>
        <w:rPr>
          <w:color w:val="231F20"/>
        </w:rPr>
        <w:t>ethics</w:t>
      </w:r>
      <w:r>
        <w:rPr>
          <w:color w:val="231F20"/>
          <w:spacing w:val="-10"/>
        </w:rPr>
        <w:t> </w:t>
      </w:r>
      <w:r>
        <w:rPr>
          <w:color w:val="231F20"/>
        </w:rPr>
        <w:t>may</w:t>
      </w:r>
      <w:r>
        <w:rPr>
          <w:color w:val="231F20"/>
          <w:spacing w:val="-10"/>
        </w:rPr>
        <w:t> </w:t>
      </w:r>
      <w:r>
        <w:rPr>
          <w:color w:val="231F20"/>
        </w:rPr>
        <w:t>telephone,</w:t>
      </w:r>
      <w:r>
        <w:rPr>
          <w:color w:val="231F20"/>
          <w:spacing w:val="-11"/>
        </w:rPr>
        <w:t> </w:t>
      </w:r>
      <w:r>
        <w:rPr>
          <w:color w:val="231F20"/>
        </w:rPr>
        <w:t>email,</w:t>
      </w:r>
      <w:r>
        <w:rPr>
          <w:color w:val="231F20"/>
          <w:spacing w:val="-10"/>
        </w:rPr>
        <w:t> </w:t>
      </w:r>
      <w:r>
        <w:rPr>
          <w:color w:val="231F20"/>
        </w:rPr>
        <w:t>fax</w:t>
      </w:r>
      <w:r>
        <w:rPr>
          <w:color w:val="231F20"/>
          <w:spacing w:val="-11"/>
        </w:rPr>
        <w:t> </w:t>
      </w:r>
      <w:r>
        <w:rPr>
          <w:color w:val="231F20"/>
        </w:rPr>
        <w:t>or</w:t>
      </w:r>
      <w:r>
        <w:rPr>
          <w:color w:val="231F20"/>
          <w:spacing w:val="-10"/>
        </w:rPr>
        <w:t> </w:t>
      </w:r>
      <w:r>
        <w:rPr>
          <w:color w:val="231F20"/>
        </w:rPr>
        <w:t>write</w:t>
      </w:r>
      <w:r>
        <w:rPr>
          <w:color w:val="231F20"/>
          <w:spacing w:val="-10"/>
        </w:rPr>
        <w:t> </w:t>
      </w:r>
      <w:r>
        <w:rPr>
          <w:color w:val="231F20"/>
        </w:rPr>
        <w:t>letters</w:t>
      </w:r>
      <w:r>
        <w:rPr>
          <w:color w:val="231F20"/>
          <w:spacing w:val="-10"/>
        </w:rPr>
        <w:t> </w:t>
      </w:r>
      <w:r>
        <w:rPr>
          <w:color w:val="231F20"/>
        </w:rPr>
        <w:t>(with their requests for advice/opinions)</w:t>
      </w:r>
      <w:r>
        <w:rPr>
          <w:color w:val="231F20"/>
          <w:spacing w:val="-18"/>
        </w:rPr>
        <w:t> </w:t>
      </w:r>
      <w:r>
        <w:rPr>
          <w:color w:val="231F20"/>
        </w:rPr>
        <w:t>to: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300" w:bottom="280" w:left="960" w:right="960"/>
        </w:sectPr>
      </w:pPr>
    </w:p>
    <w:p>
      <w:pPr>
        <w:pStyle w:val="Heading1"/>
        <w:tabs>
          <w:tab w:pos="4296" w:val="left" w:leader="none"/>
        </w:tabs>
        <w:spacing w:line="234" w:lineRule="exact" w:before="93"/>
        <w:rPr>
          <w:b w:val="0"/>
          <w:i/>
        </w:rPr>
      </w:pPr>
      <w:r>
        <w:rPr>
          <w:color w:val="231F20"/>
        </w:rPr>
        <w:t>Richard P.</w:t>
      </w:r>
      <w:r>
        <w:rPr>
          <w:color w:val="231F20"/>
          <w:spacing w:val="-4"/>
        </w:rPr>
        <w:t> </w:t>
      </w:r>
      <w:r>
        <w:rPr>
          <w:color w:val="231F20"/>
        </w:rPr>
        <w:t>Lemmler,</w:t>
      </w:r>
      <w:r>
        <w:rPr>
          <w:color w:val="231F20"/>
          <w:spacing w:val="-3"/>
        </w:rPr>
        <w:t> </w:t>
      </w:r>
      <w:r>
        <w:rPr>
          <w:color w:val="231F20"/>
        </w:rPr>
        <w:t>Jr.</w:t>
        <w:tab/>
      </w:r>
      <w:r>
        <w:rPr>
          <w:b w:val="0"/>
          <w:i/>
          <w:color w:val="231F20"/>
        </w:rPr>
        <w:t>or</w:t>
      </w:r>
    </w:p>
    <w:p>
      <w:pPr>
        <w:spacing w:line="233" w:lineRule="exact" w:before="0"/>
        <w:ind w:left="84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Ethics Counsel</w:t>
      </w:r>
    </w:p>
    <w:p>
      <w:pPr>
        <w:pStyle w:val="BodyText"/>
        <w:ind w:left="840" w:right="1142"/>
      </w:pPr>
      <w:r>
        <w:rPr>
          <w:color w:val="231F20"/>
        </w:rPr>
        <w:t>601 St. Charles Avenue New Orleans, LA 70130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31" w:lineRule="exact"/>
        <w:ind w:left="840"/>
      </w:pPr>
      <w:r>
        <w:rPr>
          <w:color w:val="231F20"/>
        </w:rPr>
        <w:t>direct dial: (504)619-0144</w:t>
      </w:r>
    </w:p>
    <w:p>
      <w:pPr>
        <w:pStyle w:val="BodyText"/>
        <w:spacing w:line="230" w:lineRule="exact"/>
        <w:ind w:left="840"/>
      </w:pPr>
      <w:r>
        <w:rPr>
          <w:color w:val="231F20"/>
        </w:rPr>
        <w:t>fax: (504)598-6753</w:t>
      </w:r>
    </w:p>
    <w:p>
      <w:pPr>
        <w:pStyle w:val="BodyText"/>
        <w:spacing w:line="231" w:lineRule="exact"/>
        <w:ind w:left="840"/>
      </w:pPr>
      <w:r>
        <w:rPr>
          <w:color w:val="231F20"/>
        </w:rPr>
        <w:t>email</w:t>
      </w:r>
      <w:hyperlink r:id="rId5">
        <w:r>
          <w:rPr>
            <w:color w:val="231F20"/>
          </w:rPr>
          <w:t>: rlemmler@lsba.org</w:t>
        </w:r>
      </w:hyperlink>
    </w:p>
    <w:p>
      <w:pPr>
        <w:pStyle w:val="Heading1"/>
        <w:spacing w:before="107"/>
        <w:ind w:right="3004"/>
      </w:pPr>
      <w:r>
        <w:rPr>
          <w:b w:val="0"/>
        </w:rPr>
        <w:br w:type="column"/>
      </w:r>
      <w:r>
        <w:rPr>
          <w:color w:val="231F20"/>
        </w:rPr>
        <w:t>Eric K. Barefield Ethics Counsel</w:t>
      </w:r>
    </w:p>
    <w:p>
      <w:pPr>
        <w:pStyle w:val="BodyText"/>
        <w:spacing w:line="230" w:lineRule="exact"/>
        <w:ind w:left="840" w:right="2076"/>
      </w:pPr>
      <w:r>
        <w:rPr>
          <w:color w:val="231F20"/>
        </w:rPr>
        <w:t>601 St. Charles Avenue New Orleans, LA 70130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1" w:lineRule="exact" w:before="1"/>
        <w:ind w:left="840"/>
      </w:pPr>
      <w:r>
        <w:rPr>
          <w:color w:val="231F20"/>
        </w:rPr>
        <w:t>direct dial: (504)619-0122</w:t>
      </w:r>
    </w:p>
    <w:p>
      <w:pPr>
        <w:pStyle w:val="BodyText"/>
        <w:spacing w:line="230" w:lineRule="exact"/>
        <w:ind w:left="840"/>
      </w:pPr>
      <w:r>
        <w:rPr>
          <w:color w:val="231F20"/>
        </w:rPr>
        <w:t>fax: (504)598-6753</w:t>
      </w:r>
    </w:p>
    <w:p>
      <w:pPr>
        <w:pStyle w:val="BodyText"/>
        <w:spacing w:line="231" w:lineRule="exact"/>
        <w:ind w:left="840"/>
      </w:pPr>
      <w:r>
        <w:rPr>
          <w:color w:val="231F20"/>
        </w:rPr>
        <w:t>email: </w:t>
      </w:r>
      <w:hyperlink r:id="rId6">
        <w:r>
          <w:rPr>
            <w:color w:val="231F20"/>
          </w:rPr>
          <w:t>ebarefield@lsba.org</w:t>
        </w:r>
      </w:hyperlink>
    </w:p>
    <w:p>
      <w:pPr>
        <w:spacing w:after="0" w:line="231" w:lineRule="exact"/>
        <w:sectPr>
          <w:type w:val="continuous"/>
          <w:pgSz w:w="12240" w:h="15840"/>
          <w:pgMar w:top="1300" w:bottom="280" w:left="960" w:right="960"/>
          <w:cols w:num="2" w:equalWidth="0">
            <w:col w:w="4475" w:space="436"/>
            <w:col w:w="5409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before="100"/>
        <w:ind w:left="120" w:right="118"/>
        <w:jc w:val="both"/>
      </w:pPr>
      <w:r>
        <w:rPr>
          <w:color w:val="231F20"/>
        </w:rPr>
        <w:t>The request must pertain to the lawyer’s own prospective conduct—the Ethics Advisory Service does not evaluate or comment upon past or on-going conduct, on matters which are themselves the subject of pending litigation or disciplinary</w:t>
      </w:r>
      <w:r>
        <w:rPr>
          <w:color w:val="231F20"/>
          <w:spacing w:val="-6"/>
        </w:rPr>
        <w:t> </w:t>
      </w:r>
      <w:r>
        <w:rPr>
          <w:color w:val="231F20"/>
        </w:rPr>
        <w:t>action,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conduct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lawyer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requesting</w:t>
      </w:r>
      <w:r>
        <w:rPr>
          <w:color w:val="231F20"/>
          <w:spacing w:val="-7"/>
        </w:rPr>
        <w:t> </w:t>
      </w:r>
      <w:r>
        <w:rPr>
          <w:color w:val="231F20"/>
        </w:rPr>
        <w:t>lawyer.</w:t>
      </w:r>
      <w:r>
        <w:rPr>
          <w:color w:val="231F20"/>
          <w:spacing w:val="-6"/>
        </w:rPr>
        <w:t> </w:t>
      </w:r>
      <w:r>
        <w:rPr>
          <w:color w:val="231F20"/>
        </w:rPr>
        <w:t>Requests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routine or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repetitive</w:t>
      </w:r>
      <w:r>
        <w:rPr>
          <w:color w:val="231F20"/>
          <w:spacing w:val="-5"/>
        </w:rPr>
        <w:t> </w:t>
      </w:r>
      <w:r>
        <w:rPr>
          <w:color w:val="231F20"/>
        </w:rPr>
        <w:t>nature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answered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Ethics</w:t>
      </w:r>
      <w:r>
        <w:rPr>
          <w:color w:val="231F20"/>
          <w:spacing w:val="-4"/>
        </w:rPr>
        <w:t> </w:t>
      </w:r>
      <w:r>
        <w:rPr>
          <w:color w:val="231F20"/>
        </w:rPr>
        <w:t>Counsel</w:t>
      </w:r>
      <w:r>
        <w:rPr>
          <w:color w:val="231F20"/>
          <w:spacing w:val="-4"/>
        </w:rPr>
        <w:t> </w:t>
      </w:r>
      <w:r>
        <w:rPr>
          <w:color w:val="231F20"/>
        </w:rPr>
        <w:t>almost</w:t>
      </w:r>
      <w:r>
        <w:rPr>
          <w:color w:val="231F20"/>
          <w:spacing w:val="-4"/>
        </w:rPr>
        <w:t> </w:t>
      </w:r>
      <w:r>
        <w:rPr>
          <w:color w:val="231F20"/>
        </w:rPr>
        <w:t>immediately.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0" w:lineRule="exact"/>
        <w:ind w:left="103"/>
        <w:rPr>
          <w:sz w:val="2"/>
        </w:rPr>
      </w:pPr>
      <w:r>
        <w:rPr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300" w:bottom="280" w:left="960" w:right="960"/>
        </w:sectPr>
      </w:pPr>
    </w:p>
    <w:p>
      <w:pPr>
        <w:pStyle w:val="BodyText"/>
        <w:rPr>
          <w:sz w:val="12"/>
        </w:rPr>
      </w:pPr>
    </w:p>
    <w:p>
      <w:pPr>
        <w:spacing w:before="1"/>
        <w:ind w:left="249" w:right="0" w:firstLine="0"/>
        <w:jc w:val="left"/>
        <w:rPr>
          <w:sz w:val="12"/>
        </w:rPr>
      </w:pPr>
      <w:r>
        <w:rPr>
          <w:color w:val="636466"/>
          <w:sz w:val="12"/>
        </w:rPr>
        <w:t>Page 156</w:t>
      </w:r>
    </w:p>
    <w:p>
      <w:pPr>
        <w:spacing w:line="169" w:lineRule="exact" w:before="0"/>
        <w:ind w:left="249" w:right="0" w:firstLine="0"/>
        <w:jc w:val="left"/>
        <w:rPr>
          <w:rFonts w:ascii="ITC Avant Garde Gothic"/>
          <w:sz w:val="14"/>
        </w:rPr>
      </w:pPr>
      <w:r>
        <w:rPr/>
        <w:br w:type="column"/>
      </w:r>
      <w:r>
        <w:rPr>
          <w:rFonts w:ascii="ITC Avant Garde Gothic Demi"/>
          <w:b/>
          <w:color w:val="636466"/>
          <w:w w:val="85"/>
          <w:sz w:val="14"/>
        </w:rPr>
        <w:t>PRACTICE AID GUIDE: </w:t>
      </w:r>
      <w:r>
        <w:rPr>
          <w:rFonts w:ascii="ITC Avant Garde Gothic"/>
          <w:color w:val="939598"/>
          <w:w w:val="85"/>
          <w:sz w:val="14"/>
        </w:rPr>
        <w:t>The Essentials of Law Office Management</w:t>
      </w:r>
    </w:p>
    <w:p>
      <w:pPr>
        <w:spacing w:before="65"/>
        <w:ind w:left="1758" w:right="0" w:firstLine="0"/>
        <w:jc w:val="left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>CHAPTER 8 </w:t>
      </w:r>
      <w:r>
        <w:rPr>
          <w:rFonts w:ascii="ITC Avant Garde Gothic"/>
          <w:color w:val="939598"/>
          <w:w w:val="85"/>
          <w:sz w:val="14"/>
        </w:rPr>
        <w:t>Ethics and Professionalism</w:t>
      </w:r>
    </w:p>
    <w:p>
      <w:pPr>
        <w:spacing w:after="0"/>
        <w:jc w:val="left"/>
        <w:rPr>
          <w:rFonts w:ascii="ITC Avant Garde Gothic"/>
          <w:sz w:val="14"/>
        </w:rPr>
        <w:sectPr>
          <w:type w:val="continuous"/>
          <w:pgSz w:w="12240" w:h="15840"/>
          <w:pgMar w:top="1300" w:bottom="280" w:left="960" w:right="960"/>
          <w:cols w:num="2" w:equalWidth="0">
            <w:col w:w="764" w:space="5523"/>
            <w:col w:w="4033"/>
          </w:cols>
        </w:sectPr>
      </w:pPr>
    </w:p>
    <w:p>
      <w:pPr>
        <w:pStyle w:val="BodyText"/>
        <w:spacing w:line="20" w:lineRule="exact"/>
        <w:ind w:left="103"/>
        <w:rPr>
          <w:rFonts w:ascii="ITC Avant Garde Gothic"/>
          <w:sz w:val="2"/>
        </w:rPr>
      </w:pPr>
      <w:r>
        <w:rPr>
          <w:rFonts w:ascii="ITC Avant Garde Gothic"/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rFonts w:ascii="ITC Avant Garde Gothic"/>
          <w:sz w:val="2"/>
        </w:rPr>
      </w:r>
    </w:p>
    <w:sectPr>
      <w:type w:val="continuous"/>
      <w:pgSz w:w="12240" w:h="15840"/>
      <w:pgMar w:top="130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vantGarde Bk BT">
    <w:altName w:val="AvantGarde Bk BT"/>
    <w:charset w:val="0"/>
    <w:family w:val="swiss"/>
    <w:pitch w:val="variable"/>
  </w:font>
  <w:font w:name="Helvetica">
    <w:altName w:val="Helvetica"/>
    <w:charset w:val="0"/>
    <w:family w:val="swiss"/>
    <w:pitch w:val="variable"/>
  </w:font>
  <w:font w:name="ITC Avant Garde Gothic Demi">
    <w:altName w:val="ITC Avant Garde Gothic Demi"/>
    <w:charset w:val="0"/>
    <w:family w:val="swiss"/>
    <w:pitch w:val="variable"/>
  </w:font>
  <w:font w:name="ITC Avant Garde Gothic">
    <w:altName w:val="ITC Avant Garde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0"/>
      <w:szCs w:val="20"/>
    </w:rPr>
  </w:style>
  <w:style w:styleId="Heading1" w:type="paragraph">
    <w:name w:val="Heading 1"/>
    <w:basedOn w:val="Normal"/>
    <w:uiPriority w:val="1"/>
    <w:qFormat/>
    <w:pPr>
      <w:spacing w:line="230" w:lineRule="exact"/>
      <w:ind w:left="840"/>
      <w:outlineLvl w:val="1"/>
    </w:pPr>
    <w:rPr>
      <w:rFonts w:ascii="Helvetica" w:hAnsi="Helvetica" w:eastAsia="Helvetica" w:cs="Helvetica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lemmler@lsba.org" TargetMode="External"/><Relationship Id="rId6" Type="http://schemas.openxmlformats.org/officeDocument/2006/relationships/hyperlink" Target="mailto:ebarefield@lsba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2017-04-05T10:58:19Z</dcterms:created>
  <dcterms:modified xsi:type="dcterms:W3CDTF">2017-04-05T10:58:19Z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